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B5F48" w14:textId="24254AA7" w:rsidR="0027349E" w:rsidRPr="0062085B" w:rsidRDefault="00D116BB" w:rsidP="0027349E">
      <w:pPr>
        <w:widowControl w:val="0"/>
        <w:autoSpaceDE w:val="0"/>
        <w:autoSpaceDN w:val="0"/>
        <w:adjustRightInd w:val="0"/>
        <w:rPr>
          <w:rFonts w:cs="Calibri"/>
          <w:sz w:val="28"/>
          <w:szCs w:val="28"/>
          <w:lang w:val="en-US"/>
        </w:rPr>
      </w:pPr>
      <w:bookmarkStart w:id="0" w:name="_GoBack"/>
      <w:bookmarkEnd w:id="0"/>
      <w:r w:rsidRPr="0062085B">
        <w:rPr>
          <w:rFonts w:cs="Calibri"/>
          <w:b/>
          <w:bCs/>
          <w:sz w:val="28"/>
          <w:szCs w:val="28"/>
          <w:lang w:val="en-US"/>
        </w:rPr>
        <w:t>CALL FOR PAPERS</w:t>
      </w:r>
    </w:p>
    <w:p w14:paraId="091311DF" w14:textId="77777777" w:rsidR="0027349E" w:rsidRPr="0062085B" w:rsidRDefault="0027349E" w:rsidP="0027349E">
      <w:pPr>
        <w:widowControl w:val="0"/>
        <w:autoSpaceDE w:val="0"/>
        <w:autoSpaceDN w:val="0"/>
        <w:adjustRightInd w:val="0"/>
        <w:rPr>
          <w:rFonts w:cs="Calibri"/>
          <w:sz w:val="28"/>
          <w:szCs w:val="28"/>
          <w:lang w:val="en-US"/>
        </w:rPr>
      </w:pPr>
      <w:r w:rsidRPr="0062085B">
        <w:rPr>
          <w:rFonts w:cs="Calibri"/>
          <w:b/>
          <w:bCs/>
          <w:sz w:val="28"/>
          <w:szCs w:val="28"/>
          <w:lang w:val="en-US"/>
        </w:rPr>
        <w:t> </w:t>
      </w:r>
    </w:p>
    <w:p w14:paraId="3BA13AC7" w14:textId="77777777" w:rsidR="0027349E" w:rsidRPr="0062085B" w:rsidRDefault="0027349E" w:rsidP="0027349E">
      <w:pPr>
        <w:widowControl w:val="0"/>
        <w:autoSpaceDE w:val="0"/>
        <w:autoSpaceDN w:val="0"/>
        <w:adjustRightInd w:val="0"/>
        <w:rPr>
          <w:rFonts w:cs="Calibri"/>
          <w:sz w:val="28"/>
          <w:szCs w:val="28"/>
          <w:lang w:val="en-US"/>
        </w:rPr>
      </w:pPr>
      <w:r w:rsidRPr="0062085B">
        <w:rPr>
          <w:rFonts w:cs="Calibri"/>
          <w:b/>
          <w:bCs/>
          <w:sz w:val="28"/>
          <w:szCs w:val="28"/>
          <w:lang w:val="en-US"/>
        </w:rPr>
        <w:t>Reputations, Legacies, Futures:</w:t>
      </w:r>
    </w:p>
    <w:p w14:paraId="3358C8EC" w14:textId="77777777" w:rsidR="0027349E" w:rsidRDefault="0027349E" w:rsidP="0027349E">
      <w:pPr>
        <w:widowControl w:val="0"/>
        <w:autoSpaceDE w:val="0"/>
        <w:autoSpaceDN w:val="0"/>
        <w:adjustRightInd w:val="0"/>
        <w:rPr>
          <w:rFonts w:cs="Calibri"/>
          <w:b/>
          <w:bCs/>
          <w:sz w:val="28"/>
          <w:szCs w:val="28"/>
          <w:lang w:val="en-US"/>
        </w:rPr>
      </w:pPr>
      <w:r w:rsidRPr="0062085B">
        <w:rPr>
          <w:rFonts w:cs="Calibri"/>
          <w:b/>
          <w:bCs/>
          <w:sz w:val="28"/>
          <w:szCs w:val="28"/>
          <w:lang w:val="en-US"/>
        </w:rPr>
        <w:t>Jane Austen, Germaine de Staël and their contemporaries, 1817-2017</w:t>
      </w:r>
    </w:p>
    <w:p w14:paraId="549F2630" w14:textId="77777777" w:rsidR="00D116BB" w:rsidRDefault="00D116BB" w:rsidP="0027349E">
      <w:pPr>
        <w:widowControl w:val="0"/>
        <w:autoSpaceDE w:val="0"/>
        <w:autoSpaceDN w:val="0"/>
        <w:adjustRightInd w:val="0"/>
        <w:rPr>
          <w:rFonts w:cs="Calibri"/>
          <w:b/>
          <w:bCs/>
          <w:sz w:val="28"/>
          <w:szCs w:val="28"/>
          <w:lang w:val="en-US"/>
        </w:rPr>
      </w:pPr>
    </w:p>
    <w:p w14:paraId="7888F42C" w14:textId="390C3C0A" w:rsidR="00D116BB" w:rsidRPr="0013117E" w:rsidRDefault="00D116BB" w:rsidP="0027349E">
      <w:pPr>
        <w:widowControl w:val="0"/>
        <w:autoSpaceDE w:val="0"/>
        <w:autoSpaceDN w:val="0"/>
        <w:adjustRightInd w:val="0"/>
        <w:rPr>
          <w:rFonts w:cs="Calibri"/>
          <w:sz w:val="28"/>
          <w:szCs w:val="28"/>
          <w:lang w:val="en-US"/>
        </w:rPr>
      </w:pPr>
      <w:r w:rsidRPr="0013117E">
        <w:rPr>
          <w:rFonts w:cs="Calibri"/>
          <w:b/>
          <w:bCs/>
          <w:sz w:val="28"/>
          <w:szCs w:val="28"/>
          <w:lang w:val="en-US"/>
        </w:rPr>
        <w:t>Chawton House Library, Hampshire, July 13-15, 2017</w:t>
      </w:r>
    </w:p>
    <w:p w14:paraId="7020DD66" w14:textId="77777777" w:rsidR="0027349E" w:rsidRPr="0062085B" w:rsidRDefault="0027349E" w:rsidP="0027349E">
      <w:pPr>
        <w:widowControl w:val="0"/>
        <w:autoSpaceDE w:val="0"/>
        <w:autoSpaceDN w:val="0"/>
        <w:adjustRightInd w:val="0"/>
        <w:rPr>
          <w:rFonts w:cs="Calibri"/>
          <w:sz w:val="22"/>
          <w:szCs w:val="22"/>
          <w:lang w:val="en-US"/>
        </w:rPr>
      </w:pPr>
    </w:p>
    <w:p w14:paraId="593318D0" w14:textId="77777777" w:rsidR="0013117E" w:rsidRDefault="0013117E" w:rsidP="0027349E">
      <w:pPr>
        <w:widowControl w:val="0"/>
        <w:autoSpaceDE w:val="0"/>
        <w:autoSpaceDN w:val="0"/>
        <w:adjustRightInd w:val="0"/>
        <w:rPr>
          <w:rFonts w:cs="Calibri"/>
          <w:b/>
          <w:bCs/>
          <w:sz w:val="22"/>
          <w:szCs w:val="22"/>
          <w:lang w:val="en-US"/>
        </w:rPr>
      </w:pPr>
    </w:p>
    <w:p w14:paraId="37DA7FD3" w14:textId="77777777" w:rsidR="0027349E" w:rsidRPr="00D116BB" w:rsidRDefault="0027349E" w:rsidP="0027349E">
      <w:pPr>
        <w:widowControl w:val="0"/>
        <w:autoSpaceDE w:val="0"/>
        <w:autoSpaceDN w:val="0"/>
        <w:adjustRightInd w:val="0"/>
        <w:rPr>
          <w:rFonts w:cs="Calibri"/>
          <w:b/>
          <w:bCs/>
          <w:sz w:val="22"/>
          <w:szCs w:val="22"/>
          <w:lang w:val="en-US"/>
        </w:rPr>
      </w:pPr>
      <w:r w:rsidRPr="00D116BB">
        <w:rPr>
          <w:rFonts w:cs="Calibri"/>
          <w:b/>
          <w:bCs/>
          <w:sz w:val="22"/>
          <w:szCs w:val="22"/>
          <w:lang w:val="en-US"/>
        </w:rPr>
        <w:t xml:space="preserve">Keynote Speakers: </w:t>
      </w:r>
    </w:p>
    <w:p w14:paraId="54669F89" w14:textId="77777777" w:rsidR="0027349E" w:rsidRPr="0062085B" w:rsidRDefault="0027349E" w:rsidP="0027349E">
      <w:pPr>
        <w:widowControl w:val="0"/>
        <w:autoSpaceDE w:val="0"/>
        <w:autoSpaceDN w:val="0"/>
        <w:adjustRightInd w:val="0"/>
        <w:rPr>
          <w:rFonts w:cs="Calibri"/>
          <w:sz w:val="22"/>
          <w:szCs w:val="22"/>
          <w:lang w:val="en-US"/>
        </w:rPr>
      </w:pPr>
    </w:p>
    <w:p w14:paraId="00033B77" w14:textId="77777777" w:rsidR="0027349E" w:rsidRPr="0062085B" w:rsidRDefault="0027349E" w:rsidP="0027349E">
      <w:pPr>
        <w:widowControl w:val="0"/>
        <w:autoSpaceDE w:val="0"/>
        <w:autoSpaceDN w:val="0"/>
        <w:adjustRightInd w:val="0"/>
        <w:rPr>
          <w:rFonts w:cs="Calibri"/>
          <w:sz w:val="22"/>
          <w:szCs w:val="22"/>
          <w:lang w:val="en-US"/>
        </w:rPr>
      </w:pPr>
      <w:r w:rsidRPr="0062085B">
        <w:rPr>
          <w:rFonts w:cs="Calibri"/>
          <w:sz w:val="22"/>
          <w:szCs w:val="22"/>
          <w:lang w:val="en-US"/>
        </w:rPr>
        <w:t>Benjamin Colbert</w:t>
      </w:r>
      <w:r w:rsidR="00EE7247" w:rsidRPr="0062085B">
        <w:rPr>
          <w:rFonts w:cs="Calibri"/>
          <w:sz w:val="22"/>
          <w:szCs w:val="22"/>
          <w:lang w:val="en-US"/>
        </w:rPr>
        <w:t>, University of Wolverhampton</w:t>
      </w:r>
    </w:p>
    <w:p w14:paraId="170CFEE7" w14:textId="77777777" w:rsidR="00EE7247" w:rsidRPr="0062085B" w:rsidRDefault="00EE7247" w:rsidP="0027349E">
      <w:pPr>
        <w:widowControl w:val="0"/>
        <w:autoSpaceDE w:val="0"/>
        <w:autoSpaceDN w:val="0"/>
        <w:adjustRightInd w:val="0"/>
        <w:rPr>
          <w:rFonts w:cs="Calibri"/>
          <w:sz w:val="22"/>
          <w:szCs w:val="22"/>
          <w:lang w:val="en-US"/>
        </w:rPr>
      </w:pPr>
      <w:r w:rsidRPr="0062085B">
        <w:rPr>
          <w:rFonts w:cs="Calibri"/>
          <w:sz w:val="22"/>
          <w:szCs w:val="22"/>
          <w:lang w:val="en-US"/>
        </w:rPr>
        <w:t>Alison Finch, University of Cambridge</w:t>
      </w:r>
    </w:p>
    <w:p w14:paraId="689BA002" w14:textId="77777777" w:rsidR="00EE7247" w:rsidRPr="0062085B" w:rsidRDefault="00EE7247" w:rsidP="0027349E">
      <w:pPr>
        <w:widowControl w:val="0"/>
        <w:autoSpaceDE w:val="0"/>
        <w:autoSpaceDN w:val="0"/>
        <w:adjustRightInd w:val="0"/>
        <w:rPr>
          <w:rFonts w:cs="Calibri"/>
          <w:sz w:val="22"/>
          <w:szCs w:val="22"/>
          <w:lang w:val="en-US"/>
        </w:rPr>
      </w:pPr>
      <w:r w:rsidRPr="0062085B">
        <w:rPr>
          <w:rFonts w:cs="Calibri"/>
          <w:sz w:val="22"/>
          <w:szCs w:val="22"/>
          <w:lang w:val="en-US"/>
        </w:rPr>
        <w:t>Deidre Lynch, Harvard University</w:t>
      </w:r>
    </w:p>
    <w:p w14:paraId="35566E51" w14:textId="77777777" w:rsidR="0027349E" w:rsidRPr="0062085B" w:rsidRDefault="0027349E" w:rsidP="0027349E">
      <w:pPr>
        <w:widowControl w:val="0"/>
        <w:autoSpaceDE w:val="0"/>
        <w:autoSpaceDN w:val="0"/>
        <w:adjustRightInd w:val="0"/>
        <w:rPr>
          <w:rFonts w:cs="Calibri"/>
          <w:sz w:val="22"/>
          <w:szCs w:val="22"/>
          <w:lang w:val="en-US"/>
        </w:rPr>
      </w:pPr>
      <w:r w:rsidRPr="0062085B">
        <w:rPr>
          <w:rFonts w:cs="Calibri"/>
          <w:b/>
          <w:bCs/>
          <w:sz w:val="22"/>
          <w:szCs w:val="22"/>
          <w:lang w:val="en-US"/>
        </w:rPr>
        <w:t> </w:t>
      </w:r>
    </w:p>
    <w:p w14:paraId="4FD2E5B4" w14:textId="22D15B0F" w:rsidR="0027349E" w:rsidRPr="0062085B" w:rsidRDefault="0027349E" w:rsidP="0027349E">
      <w:pPr>
        <w:widowControl w:val="0"/>
        <w:autoSpaceDE w:val="0"/>
        <w:autoSpaceDN w:val="0"/>
        <w:adjustRightInd w:val="0"/>
        <w:rPr>
          <w:rFonts w:cs="Calibri"/>
          <w:sz w:val="22"/>
          <w:szCs w:val="22"/>
          <w:lang w:val="en-US"/>
        </w:rPr>
      </w:pPr>
    </w:p>
    <w:p w14:paraId="1C01E30F" w14:textId="184BD754" w:rsidR="0027349E" w:rsidRPr="0062085B" w:rsidRDefault="0027349E" w:rsidP="00D116BB">
      <w:pPr>
        <w:widowControl w:val="0"/>
        <w:autoSpaceDE w:val="0"/>
        <w:autoSpaceDN w:val="0"/>
        <w:adjustRightInd w:val="0"/>
        <w:rPr>
          <w:rFonts w:cs="Calibri"/>
          <w:sz w:val="22"/>
          <w:szCs w:val="22"/>
          <w:lang w:val="en-US"/>
        </w:rPr>
      </w:pPr>
      <w:r w:rsidRPr="0062085B">
        <w:rPr>
          <w:rFonts w:cs="Calibri"/>
          <w:sz w:val="22"/>
          <w:szCs w:val="22"/>
          <w:lang w:val="en-US"/>
        </w:rPr>
        <w:t>July 1817 saw two deaths – of Jane Austen, an English novelist with a solid but relatively modest success, and of Germaine de Staël, a long-standing superstar of pan-European intellectual, political and literary life. Over the two centuries since, the relative reputations of these two writers have re-aligned in ways that would have astonished their contemporaries, admirers and critics alike.</w:t>
      </w:r>
    </w:p>
    <w:p w14:paraId="0F70673B" w14:textId="77777777" w:rsidR="0027349E" w:rsidRPr="0062085B" w:rsidRDefault="0027349E" w:rsidP="0027349E">
      <w:pPr>
        <w:widowControl w:val="0"/>
        <w:autoSpaceDE w:val="0"/>
        <w:autoSpaceDN w:val="0"/>
        <w:adjustRightInd w:val="0"/>
        <w:rPr>
          <w:rFonts w:cs="Calibri"/>
          <w:sz w:val="22"/>
          <w:szCs w:val="22"/>
          <w:lang w:val="en-US"/>
        </w:rPr>
      </w:pPr>
    </w:p>
    <w:p w14:paraId="6634FF6C" w14:textId="77777777" w:rsidR="0027349E" w:rsidRPr="0062085B" w:rsidRDefault="0027349E" w:rsidP="0027349E">
      <w:pPr>
        <w:widowControl w:val="0"/>
        <w:autoSpaceDE w:val="0"/>
        <w:autoSpaceDN w:val="0"/>
        <w:adjustRightInd w:val="0"/>
        <w:rPr>
          <w:rFonts w:cs="Calibri"/>
          <w:sz w:val="22"/>
          <w:szCs w:val="22"/>
          <w:lang w:val="en-US"/>
        </w:rPr>
      </w:pPr>
      <w:r w:rsidRPr="0062085B">
        <w:rPr>
          <w:rFonts w:cs="Calibri"/>
          <w:sz w:val="22"/>
          <w:szCs w:val="22"/>
          <w:lang w:val="en-US"/>
        </w:rPr>
        <w:t>This joint anniversary provides an unrivalled opportunity to bring scholars together to reflect on the connections, continuities, and contrasts between these two writers’ careers both in their lifetimes and after, and to think about the waxing and waning across Europe and beyond of the literary reputations of eighteenth-century and Romantic-period women writers more generally.</w:t>
      </w:r>
    </w:p>
    <w:p w14:paraId="1A37CCE5" w14:textId="77777777" w:rsidR="0027349E" w:rsidRPr="0062085B" w:rsidRDefault="0027349E" w:rsidP="0027349E">
      <w:pPr>
        <w:widowControl w:val="0"/>
        <w:autoSpaceDE w:val="0"/>
        <w:autoSpaceDN w:val="0"/>
        <w:adjustRightInd w:val="0"/>
        <w:rPr>
          <w:rFonts w:cs="Calibri"/>
          <w:sz w:val="22"/>
          <w:szCs w:val="22"/>
          <w:lang w:val="en-US"/>
        </w:rPr>
      </w:pPr>
    </w:p>
    <w:p w14:paraId="122379AD" w14:textId="0D68F824" w:rsidR="0062085B" w:rsidRDefault="0027349E" w:rsidP="0062085B">
      <w:pPr>
        <w:widowControl w:val="0"/>
        <w:autoSpaceDE w:val="0"/>
        <w:autoSpaceDN w:val="0"/>
        <w:adjustRightInd w:val="0"/>
        <w:rPr>
          <w:rFonts w:cs="Calibri"/>
          <w:sz w:val="22"/>
          <w:szCs w:val="22"/>
          <w:lang w:val="en-US"/>
        </w:rPr>
      </w:pPr>
      <w:r w:rsidRPr="0062085B">
        <w:rPr>
          <w:rFonts w:cs="Calibri"/>
          <w:sz w:val="22"/>
          <w:szCs w:val="22"/>
          <w:lang w:val="en-US"/>
        </w:rPr>
        <w:t>The organisers invite submissions of 20 minute papers. Topics might include, but are not limited to:</w:t>
      </w:r>
      <w:r w:rsidR="0062085B">
        <w:rPr>
          <w:rFonts w:cs="Calibri"/>
          <w:sz w:val="22"/>
          <w:szCs w:val="22"/>
          <w:lang w:val="en-US"/>
        </w:rPr>
        <w:br/>
      </w:r>
    </w:p>
    <w:p w14:paraId="3BAFED4D" w14:textId="2387021E" w:rsidR="0062085B" w:rsidRPr="0062085B" w:rsidRDefault="0027349E" w:rsidP="0062085B">
      <w:pPr>
        <w:pStyle w:val="ListParagraph"/>
        <w:widowControl w:val="0"/>
        <w:numPr>
          <w:ilvl w:val="0"/>
          <w:numId w:val="1"/>
        </w:numPr>
        <w:autoSpaceDE w:val="0"/>
        <w:autoSpaceDN w:val="0"/>
        <w:adjustRightInd w:val="0"/>
        <w:rPr>
          <w:rFonts w:cs="Calibri"/>
          <w:sz w:val="22"/>
          <w:szCs w:val="22"/>
          <w:lang w:val="en-US"/>
        </w:rPr>
      </w:pPr>
      <w:r w:rsidRPr="0062085B">
        <w:rPr>
          <w:rFonts w:cs="Calibri"/>
          <w:sz w:val="22"/>
          <w:szCs w:val="22"/>
          <w:lang w:val="en-US"/>
        </w:rPr>
        <w:t>Connections and continuities between Austen and Staël (including, for instance, Austen’s familiarity with/awareness of the writings of Staël and vice versa, or their dealings with the firm that published them both, John Murray)</w:t>
      </w:r>
    </w:p>
    <w:p w14:paraId="0B8439A3" w14:textId="77777777" w:rsidR="0062085B" w:rsidRDefault="0062085B" w:rsidP="0027349E">
      <w:pPr>
        <w:widowControl w:val="0"/>
        <w:autoSpaceDE w:val="0"/>
        <w:autoSpaceDN w:val="0"/>
        <w:adjustRightInd w:val="0"/>
        <w:rPr>
          <w:rFonts w:cs="Calibri"/>
          <w:sz w:val="22"/>
          <w:szCs w:val="22"/>
          <w:lang w:val="en-US"/>
        </w:rPr>
      </w:pPr>
    </w:p>
    <w:p w14:paraId="33ECA8C9" w14:textId="67DFB088" w:rsidR="0027349E" w:rsidRPr="0062085B" w:rsidRDefault="0027349E" w:rsidP="0062085B">
      <w:pPr>
        <w:pStyle w:val="ListParagraph"/>
        <w:widowControl w:val="0"/>
        <w:numPr>
          <w:ilvl w:val="0"/>
          <w:numId w:val="1"/>
        </w:numPr>
        <w:autoSpaceDE w:val="0"/>
        <w:autoSpaceDN w:val="0"/>
        <w:adjustRightInd w:val="0"/>
        <w:rPr>
          <w:rFonts w:cs="Calibri"/>
          <w:sz w:val="22"/>
          <w:szCs w:val="22"/>
          <w:lang w:val="en-US"/>
        </w:rPr>
      </w:pPr>
      <w:r w:rsidRPr="0062085B">
        <w:rPr>
          <w:rFonts w:cs="Calibri"/>
          <w:sz w:val="22"/>
          <w:szCs w:val="22"/>
          <w:lang w:val="en-US"/>
        </w:rPr>
        <w:t>The reputations and reception of women writers in Europe and beyond, both in their own lifetimes and subsequently</w:t>
      </w:r>
    </w:p>
    <w:p w14:paraId="63B472C3" w14:textId="77777777" w:rsidR="0062085B" w:rsidRDefault="0062085B" w:rsidP="0027349E">
      <w:pPr>
        <w:widowControl w:val="0"/>
        <w:autoSpaceDE w:val="0"/>
        <w:autoSpaceDN w:val="0"/>
        <w:adjustRightInd w:val="0"/>
        <w:rPr>
          <w:rFonts w:cs="Calibri"/>
          <w:sz w:val="22"/>
          <w:szCs w:val="22"/>
          <w:lang w:val="en-US"/>
        </w:rPr>
      </w:pPr>
    </w:p>
    <w:p w14:paraId="1913EAFB" w14:textId="28586F59" w:rsidR="0027349E" w:rsidRPr="0062085B" w:rsidRDefault="0027349E" w:rsidP="0062085B">
      <w:pPr>
        <w:pStyle w:val="ListParagraph"/>
        <w:widowControl w:val="0"/>
        <w:numPr>
          <w:ilvl w:val="0"/>
          <w:numId w:val="1"/>
        </w:numPr>
        <w:autoSpaceDE w:val="0"/>
        <w:autoSpaceDN w:val="0"/>
        <w:adjustRightInd w:val="0"/>
        <w:rPr>
          <w:rFonts w:cs="Calibri"/>
          <w:sz w:val="22"/>
          <w:szCs w:val="22"/>
          <w:lang w:val="en-US"/>
        </w:rPr>
      </w:pPr>
      <w:r w:rsidRPr="0062085B">
        <w:rPr>
          <w:rFonts w:cs="Calibri"/>
          <w:sz w:val="22"/>
          <w:szCs w:val="22"/>
          <w:lang w:val="en-US"/>
        </w:rPr>
        <w:t>Contemporary and subsequent models for the woman writer, thinker and genius</w:t>
      </w:r>
    </w:p>
    <w:p w14:paraId="24C85E3E" w14:textId="77777777" w:rsidR="0062085B" w:rsidRDefault="0062085B" w:rsidP="0027349E">
      <w:pPr>
        <w:widowControl w:val="0"/>
        <w:autoSpaceDE w:val="0"/>
        <w:autoSpaceDN w:val="0"/>
        <w:adjustRightInd w:val="0"/>
        <w:rPr>
          <w:rFonts w:cs="Calibri"/>
          <w:sz w:val="22"/>
          <w:szCs w:val="22"/>
          <w:lang w:val="en-US"/>
        </w:rPr>
      </w:pPr>
    </w:p>
    <w:p w14:paraId="2C2A6F5C" w14:textId="1CA37CFB" w:rsidR="0027349E" w:rsidRPr="0062085B" w:rsidRDefault="0027349E" w:rsidP="0062085B">
      <w:pPr>
        <w:pStyle w:val="ListParagraph"/>
        <w:widowControl w:val="0"/>
        <w:numPr>
          <w:ilvl w:val="0"/>
          <w:numId w:val="1"/>
        </w:numPr>
        <w:autoSpaceDE w:val="0"/>
        <w:autoSpaceDN w:val="0"/>
        <w:adjustRightInd w:val="0"/>
        <w:rPr>
          <w:rFonts w:cs="Calibri"/>
          <w:sz w:val="22"/>
          <w:szCs w:val="22"/>
          <w:lang w:val="en-US"/>
        </w:rPr>
      </w:pPr>
      <w:r w:rsidRPr="0062085B">
        <w:rPr>
          <w:rFonts w:cs="Calibri"/>
          <w:sz w:val="22"/>
          <w:szCs w:val="22"/>
          <w:lang w:val="en-US"/>
        </w:rPr>
        <w:t>The celebration of women writers, including portraiture, biography, the fame of associated place, commemorative events</w:t>
      </w:r>
    </w:p>
    <w:p w14:paraId="35D444E5" w14:textId="77777777" w:rsidR="0062085B" w:rsidRPr="0062085B" w:rsidRDefault="0062085B" w:rsidP="0027349E">
      <w:pPr>
        <w:widowControl w:val="0"/>
        <w:autoSpaceDE w:val="0"/>
        <w:autoSpaceDN w:val="0"/>
        <w:adjustRightInd w:val="0"/>
        <w:rPr>
          <w:rFonts w:cs="Calibri"/>
          <w:sz w:val="22"/>
          <w:szCs w:val="22"/>
          <w:lang w:val="en-US"/>
        </w:rPr>
      </w:pPr>
    </w:p>
    <w:p w14:paraId="72FEDD88" w14:textId="46FE705E" w:rsidR="0027349E" w:rsidRPr="0062085B" w:rsidRDefault="0027349E" w:rsidP="0062085B">
      <w:pPr>
        <w:pStyle w:val="ListParagraph"/>
        <w:widowControl w:val="0"/>
        <w:numPr>
          <w:ilvl w:val="0"/>
          <w:numId w:val="1"/>
        </w:numPr>
        <w:autoSpaceDE w:val="0"/>
        <w:autoSpaceDN w:val="0"/>
        <w:adjustRightInd w:val="0"/>
        <w:rPr>
          <w:rFonts w:cs="Calibri"/>
          <w:sz w:val="22"/>
          <w:szCs w:val="22"/>
          <w:lang w:val="en-US"/>
        </w:rPr>
      </w:pPr>
      <w:r w:rsidRPr="0062085B">
        <w:rPr>
          <w:rFonts w:cs="Calibri"/>
          <w:sz w:val="22"/>
          <w:szCs w:val="22"/>
          <w:lang w:val="en-US"/>
        </w:rPr>
        <w:t>The sale, import, export, translation, abridgement, extraction, illustration, adaptation of the works of women writers from their lifetimes to the present</w:t>
      </w:r>
    </w:p>
    <w:p w14:paraId="2B63CCE6" w14:textId="77777777" w:rsidR="0062085B" w:rsidRPr="0062085B" w:rsidRDefault="0062085B" w:rsidP="0027349E">
      <w:pPr>
        <w:widowControl w:val="0"/>
        <w:autoSpaceDE w:val="0"/>
        <w:autoSpaceDN w:val="0"/>
        <w:adjustRightInd w:val="0"/>
        <w:rPr>
          <w:rFonts w:cs="Calibri"/>
          <w:sz w:val="22"/>
          <w:szCs w:val="22"/>
          <w:lang w:val="en-US"/>
        </w:rPr>
      </w:pPr>
    </w:p>
    <w:p w14:paraId="3685A4B1" w14:textId="5CD96040" w:rsidR="0013117E" w:rsidRDefault="0027349E" w:rsidP="0062085B">
      <w:pPr>
        <w:pStyle w:val="ListParagraph"/>
        <w:widowControl w:val="0"/>
        <w:numPr>
          <w:ilvl w:val="0"/>
          <w:numId w:val="1"/>
        </w:numPr>
        <w:autoSpaceDE w:val="0"/>
        <w:autoSpaceDN w:val="0"/>
        <w:adjustRightInd w:val="0"/>
        <w:rPr>
          <w:rFonts w:cs="Calibri"/>
          <w:sz w:val="22"/>
          <w:szCs w:val="22"/>
          <w:lang w:val="en-US"/>
        </w:rPr>
      </w:pPr>
      <w:r w:rsidRPr="0062085B">
        <w:rPr>
          <w:rFonts w:cs="Calibri"/>
          <w:sz w:val="22"/>
          <w:szCs w:val="22"/>
          <w:lang w:val="en-US"/>
        </w:rPr>
        <w:t>Echoes, influence, and reiterations, especially those women writers  described as ‘other’ Austens and Staëls in Europe and America</w:t>
      </w:r>
    </w:p>
    <w:p w14:paraId="1A4E5477" w14:textId="77777777" w:rsidR="0013117E" w:rsidRDefault="0013117E">
      <w:pPr>
        <w:rPr>
          <w:rFonts w:cs="Calibri"/>
          <w:sz w:val="22"/>
          <w:szCs w:val="22"/>
          <w:lang w:val="en-US"/>
        </w:rPr>
      </w:pPr>
      <w:r>
        <w:rPr>
          <w:rFonts w:cs="Calibri"/>
          <w:sz w:val="22"/>
          <w:szCs w:val="22"/>
          <w:lang w:val="en-US"/>
        </w:rPr>
        <w:br w:type="page"/>
      </w:r>
    </w:p>
    <w:p w14:paraId="2EB866E0" w14:textId="77777777" w:rsidR="0062085B" w:rsidRPr="0062085B" w:rsidRDefault="0062085B" w:rsidP="0027349E">
      <w:pPr>
        <w:widowControl w:val="0"/>
        <w:autoSpaceDE w:val="0"/>
        <w:autoSpaceDN w:val="0"/>
        <w:adjustRightInd w:val="0"/>
        <w:rPr>
          <w:rFonts w:cs="Calibri"/>
          <w:sz w:val="22"/>
          <w:szCs w:val="22"/>
          <w:lang w:val="en-US"/>
        </w:rPr>
      </w:pPr>
    </w:p>
    <w:p w14:paraId="400BDE90" w14:textId="203A783B" w:rsidR="0027349E" w:rsidRPr="0062085B" w:rsidRDefault="0027349E" w:rsidP="0062085B">
      <w:pPr>
        <w:pStyle w:val="ListParagraph"/>
        <w:widowControl w:val="0"/>
        <w:numPr>
          <w:ilvl w:val="0"/>
          <w:numId w:val="1"/>
        </w:numPr>
        <w:autoSpaceDE w:val="0"/>
        <w:autoSpaceDN w:val="0"/>
        <w:adjustRightInd w:val="0"/>
        <w:rPr>
          <w:rFonts w:cs="Calibri"/>
          <w:sz w:val="22"/>
          <w:szCs w:val="22"/>
          <w:lang w:val="en-US"/>
        </w:rPr>
      </w:pPr>
      <w:r w:rsidRPr="0062085B">
        <w:rPr>
          <w:rFonts w:cs="Calibri"/>
          <w:sz w:val="22"/>
          <w:szCs w:val="22"/>
          <w:lang w:val="en-US"/>
        </w:rPr>
        <w:t>The changing relative placement of these writers in relation (for instance) to notions of the centre and the periphery, the cosmopolitan and the national, the hierarchies of genre</w:t>
      </w:r>
    </w:p>
    <w:p w14:paraId="734F789D" w14:textId="77777777" w:rsidR="0062085B" w:rsidRPr="0062085B" w:rsidRDefault="0062085B" w:rsidP="0027349E">
      <w:pPr>
        <w:widowControl w:val="0"/>
        <w:autoSpaceDE w:val="0"/>
        <w:autoSpaceDN w:val="0"/>
        <w:adjustRightInd w:val="0"/>
        <w:rPr>
          <w:rFonts w:cs="Calibri"/>
          <w:sz w:val="22"/>
          <w:szCs w:val="22"/>
          <w:lang w:val="en-US"/>
        </w:rPr>
      </w:pPr>
    </w:p>
    <w:p w14:paraId="2265FFFF" w14:textId="7E2335B6" w:rsidR="0027349E" w:rsidRPr="0062085B" w:rsidRDefault="0027349E" w:rsidP="0062085B">
      <w:pPr>
        <w:pStyle w:val="ListParagraph"/>
        <w:widowControl w:val="0"/>
        <w:numPr>
          <w:ilvl w:val="0"/>
          <w:numId w:val="1"/>
        </w:numPr>
        <w:autoSpaceDE w:val="0"/>
        <w:autoSpaceDN w:val="0"/>
        <w:adjustRightInd w:val="0"/>
        <w:rPr>
          <w:rFonts w:cs="Calibri"/>
          <w:sz w:val="22"/>
          <w:szCs w:val="22"/>
          <w:lang w:val="en-US"/>
        </w:rPr>
      </w:pPr>
      <w:r w:rsidRPr="0062085B">
        <w:rPr>
          <w:rFonts w:cs="Calibri"/>
          <w:sz w:val="22"/>
          <w:szCs w:val="22"/>
          <w:lang w:val="en-US"/>
        </w:rPr>
        <w:t>The futures of reading and teaching women’s writing of the period</w:t>
      </w:r>
    </w:p>
    <w:p w14:paraId="4AD305B0" w14:textId="77777777" w:rsidR="0062085B" w:rsidRPr="0062085B" w:rsidRDefault="0062085B" w:rsidP="0027349E">
      <w:pPr>
        <w:widowControl w:val="0"/>
        <w:autoSpaceDE w:val="0"/>
        <w:autoSpaceDN w:val="0"/>
        <w:adjustRightInd w:val="0"/>
        <w:rPr>
          <w:rFonts w:cs="Calibri"/>
          <w:sz w:val="22"/>
          <w:szCs w:val="22"/>
          <w:lang w:val="en-US"/>
        </w:rPr>
      </w:pPr>
    </w:p>
    <w:p w14:paraId="3E1AB0A1" w14:textId="27D095DB" w:rsidR="0027349E" w:rsidRPr="0062085B" w:rsidRDefault="0027349E" w:rsidP="0062085B">
      <w:pPr>
        <w:pStyle w:val="ListParagraph"/>
        <w:widowControl w:val="0"/>
        <w:numPr>
          <w:ilvl w:val="0"/>
          <w:numId w:val="1"/>
        </w:numPr>
        <w:autoSpaceDE w:val="0"/>
        <w:autoSpaceDN w:val="0"/>
        <w:adjustRightInd w:val="0"/>
        <w:rPr>
          <w:rFonts w:cs="Calibri"/>
          <w:sz w:val="22"/>
          <w:szCs w:val="22"/>
          <w:lang w:val="en-US"/>
        </w:rPr>
      </w:pPr>
      <w:r w:rsidRPr="0062085B">
        <w:rPr>
          <w:rFonts w:cs="Calibri"/>
          <w:sz w:val="22"/>
          <w:szCs w:val="22"/>
          <w:lang w:val="en-US"/>
        </w:rPr>
        <w:t xml:space="preserve">Other anniversaries associated with women writers falling in 1817 (such as, for instance, the career-defining publication in London and Paris of Sydney Owenson/Lady Morgan’s </w:t>
      </w:r>
      <w:r w:rsidRPr="0062085B">
        <w:rPr>
          <w:rFonts w:cs="Calibri"/>
          <w:i/>
          <w:iCs/>
          <w:sz w:val="22"/>
          <w:szCs w:val="22"/>
          <w:lang w:val="en-US"/>
        </w:rPr>
        <w:t>France</w:t>
      </w:r>
      <w:r w:rsidRPr="0062085B">
        <w:rPr>
          <w:rFonts w:cs="Calibri"/>
          <w:sz w:val="22"/>
          <w:szCs w:val="22"/>
          <w:lang w:val="en-US"/>
        </w:rPr>
        <w:t>)</w:t>
      </w:r>
      <w:r w:rsidRPr="0062085B">
        <w:rPr>
          <w:rFonts w:cs="Calibri"/>
          <w:i/>
          <w:iCs/>
          <w:sz w:val="22"/>
          <w:szCs w:val="22"/>
          <w:lang w:val="en-US"/>
        </w:rPr>
        <w:t xml:space="preserve">. </w:t>
      </w:r>
      <w:r w:rsidRPr="0062085B">
        <w:rPr>
          <w:rFonts w:cs="Calibri"/>
          <w:sz w:val="22"/>
          <w:szCs w:val="22"/>
          <w:lang w:val="en-US"/>
        </w:rPr>
        <w:t> </w:t>
      </w:r>
    </w:p>
    <w:p w14:paraId="1C8E04EF" w14:textId="77777777" w:rsidR="0062085B" w:rsidRPr="0062085B" w:rsidRDefault="0062085B" w:rsidP="0027349E">
      <w:pPr>
        <w:widowControl w:val="0"/>
        <w:autoSpaceDE w:val="0"/>
        <w:autoSpaceDN w:val="0"/>
        <w:adjustRightInd w:val="0"/>
        <w:rPr>
          <w:rFonts w:cs="Calibri"/>
          <w:sz w:val="22"/>
          <w:szCs w:val="22"/>
          <w:lang w:val="en-US"/>
        </w:rPr>
      </w:pPr>
    </w:p>
    <w:p w14:paraId="20F6E5E9" w14:textId="3B5E2D82" w:rsidR="0027349E" w:rsidRPr="00094063" w:rsidRDefault="0027349E" w:rsidP="0027349E">
      <w:pPr>
        <w:widowControl w:val="0"/>
        <w:autoSpaceDE w:val="0"/>
        <w:autoSpaceDN w:val="0"/>
        <w:adjustRightInd w:val="0"/>
        <w:rPr>
          <w:rFonts w:cs="Calibri"/>
          <w:sz w:val="22"/>
          <w:szCs w:val="22"/>
          <w:lang w:val="en-US"/>
        </w:rPr>
      </w:pPr>
      <w:r w:rsidRPr="0062085B">
        <w:rPr>
          <w:rFonts w:cs="Calibri"/>
          <w:sz w:val="22"/>
          <w:szCs w:val="22"/>
          <w:lang w:val="en-US"/>
        </w:rPr>
        <w:t>Please send 300 word abstracts to Sandy White at the University of Southampton</w:t>
      </w:r>
      <w:r w:rsidR="00094063">
        <w:rPr>
          <w:rFonts w:cs="Calibri"/>
          <w:sz w:val="22"/>
          <w:szCs w:val="22"/>
          <w:lang w:val="en-US"/>
        </w:rPr>
        <w:t xml:space="preserve">: </w:t>
      </w:r>
      <w:hyperlink r:id="rId5" w:history="1">
        <w:r w:rsidR="00094063" w:rsidRPr="00094063">
          <w:rPr>
            <w:rStyle w:val="Hyperlink"/>
            <w:rFonts w:cs="Calibri"/>
            <w:color w:val="auto"/>
            <w:sz w:val="22"/>
            <w:szCs w:val="22"/>
            <w:lang w:val="en-US"/>
          </w:rPr>
          <w:t>sw17@soton.ac.uk</w:t>
        </w:r>
      </w:hyperlink>
      <w:r w:rsidR="00094063" w:rsidRPr="00094063">
        <w:rPr>
          <w:rFonts w:cs="Calibri"/>
          <w:sz w:val="22"/>
          <w:szCs w:val="22"/>
          <w:lang w:val="en-US"/>
        </w:rPr>
        <w:t xml:space="preserve"> </w:t>
      </w:r>
      <w:r w:rsidRPr="00094063">
        <w:rPr>
          <w:rFonts w:cs="Calibri"/>
          <w:sz w:val="22"/>
          <w:szCs w:val="22"/>
          <w:lang w:val="en-US"/>
        </w:rPr>
        <w:t xml:space="preserve"> by Friday, </w:t>
      </w:r>
      <w:r w:rsidR="002B4300">
        <w:rPr>
          <w:rFonts w:cs="Calibri"/>
          <w:sz w:val="22"/>
          <w:szCs w:val="22"/>
          <w:lang w:val="en-US"/>
        </w:rPr>
        <w:t>December 2nd, 2016</w:t>
      </w:r>
      <w:r w:rsidRPr="00094063">
        <w:rPr>
          <w:rFonts w:cs="Calibri"/>
          <w:sz w:val="22"/>
          <w:szCs w:val="22"/>
          <w:lang w:val="en-US"/>
        </w:rPr>
        <w:t>.</w:t>
      </w:r>
    </w:p>
    <w:p w14:paraId="3ADED1D1" w14:textId="77777777" w:rsidR="0027349E" w:rsidRPr="0062085B" w:rsidRDefault="0027349E" w:rsidP="0027349E">
      <w:pPr>
        <w:widowControl w:val="0"/>
        <w:autoSpaceDE w:val="0"/>
        <w:autoSpaceDN w:val="0"/>
        <w:adjustRightInd w:val="0"/>
        <w:rPr>
          <w:rFonts w:cs="Calibri"/>
          <w:sz w:val="22"/>
          <w:szCs w:val="22"/>
          <w:lang w:val="en-US"/>
        </w:rPr>
      </w:pPr>
      <w:r w:rsidRPr="0062085B">
        <w:rPr>
          <w:rFonts w:cs="Calibri"/>
          <w:sz w:val="22"/>
          <w:szCs w:val="22"/>
          <w:lang w:val="en-US"/>
        </w:rPr>
        <w:t> </w:t>
      </w:r>
    </w:p>
    <w:p w14:paraId="11242548" w14:textId="0F60100E" w:rsidR="0027349E" w:rsidRDefault="0027349E" w:rsidP="0027349E">
      <w:pPr>
        <w:widowControl w:val="0"/>
        <w:autoSpaceDE w:val="0"/>
        <w:autoSpaceDN w:val="0"/>
        <w:adjustRightInd w:val="0"/>
        <w:rPr>
          <w:rFonts w:cs="Calibri"/>
          <w:b/>
          <w:bCs/>
          <w:sz w:val="22"/>
          <w:szCs w:val="22"/>
          <w:lang w:val="en-US"/>
        </w:rPr>
      </w:pPr>
      <w:r w:rsidRPr="0062085B">
        <w:rPr>
          <w:rFonts w:cs="Calibri"/>
          <w:b/>
          <w:bCs/>
          <w:sz w:val="22"/>
          <w:szCs w:val="22"/>
          <w:lang w:val="en-US"/>
        </w:rPr>
        <w:t>Organising committee</w:t>
      </w:r>
      <w:r w:rsidR="0062085B" w:rsidRPr="0062085B">
        <w:rPr>
          <w:rFonts w:cs="Calibri"/>
          <w:b/>
          <w:bCs/>
          <w:sz w:val="22"/>
          <w:szCs w:val="22"/>
          <w:lang w:val="en-US"/>
        </w:rPr>
        <w:t>:</w:t>
      </w:r>
    </w:p>
    <w:p w14:paraId="0811CD73" w14:textId="77777777" w:rsidR="0062085B" w:rsidRPr="0062085B" w:rsidRDefault="0062085B" w:rsidP="0027349E">
      <w:pPr>
        <w:widowControl w:val="0"/>
        <w:autoSpaceDE w:val="0"/>
        <w:autoSpaceDN w:val="0"/>
        <w:adjustRightInd w:val="0"/>
        <w:rPr>
          <w:rFonts w:cs="Calibri"/>
          <w:b/>
          <w:bCs/>
          <w:sz w:val="22"/>
          <w:szCs w:val="22"/>
          <w:lang w:val="en-US"/>
        </w:rPr>
      </w:pPr>
    </w:p>
    <w:p w14:paraId="32B6F347" w14:textId="5D7B6BB5" w:rsidR="0027349E" w:rsidRPr="0062085B" w:rsidRDefault="0027349E" w:rsidP="0027349E">
      <w:pPr>
        <w:widowControl w:val="0"/>
        <w:autoSpaceDE w:val="0"/>
        <w:autoSpaceDN w:val="0"/>
        <w:adjustRightInd w:val="0"/>
        <w:rPr>
          <w:rFonts w:cs="Calibri"/>
          <w:sz w:val="22"/>
          <w:szCs w:val="22"/>
          <w:lang w:val="en-US"/>
        </w:rPr>
      </w:pPr>
      <w:r w:rsidRPr="0062085B">
        <w:rPr>
          <w:rFonts w:cs="Calibri"/>
          <w:sz w:val="22"/>
          <w:szCs w:val="22"/>
          <w:lang w:val="en-US"/>
        </w:rPr>
        <w:t>Dr Gillian Dow (Executive Director of Chawton House Library and Associate Professor in English at the University of Southampton) [</w:t>
      </w:r>
      <w:hyperlink r:id="rId6" w:history="1">
        <w:r w:rsidRPr="0062085B">
          <w:rPr>
            <w:rFonts w:cs="Calibri"/>
            <w:color w:val="0000E9"/>
            <w:sz w:val="22"/>
            <w:szCs w:val="22"/>
            <w:u w:val="single" w:color="0000E9"/>
            <w:lang w:val="en-US"/>
          </w:rPr>
          <w:t>Gillian.dow@chawtonhouselibrary.org</w:t>
        </w:r>
      </w:hyperlink>
      <w:r w:rsidRPr="0062085B">
        <w:rPr>
          <w:rFonts w:cs="Calibri"/>
          <w:sz w:val="22"/>
          <w:szCs w:val="22"/>
          <w:lang w:val="en-US"/>
        </w:rPr>
        <w:t>]</w:t>
      </w:r>
      <w:r w:rsidR="00D116BB">
        <w:rPr>
          <w:rFonts w:cs="Calibri"/>
          <w:sz w:val="22"/>
          <w:szCs w:val="22"/>
          <w:lang w:val="en-US"/>
        </w:rPr>
        <w:br/>
      </w:r>
    </w:p>
    <w:p w14:paraId="2F9FC682" w14:textId="62DFF2BE" w:rsidR="0027349E" w:rsidRPr="0062085B" w:rsidRDefault="0027349E" w:rsidP="0027349E">
      <w:pPr>
        <w:widowControl w:val="0"/>
        <w:autoSpaceDE w:val="0"/>
        <w:autoSpaceDN w:val="0"/>
        <w:adjustRightInd w:val="0"/>
        <w:rPr>
          <w:rFonts w:cs="Calibri"/>
          <w:sz w:val="22"/>
          <w:szCs w:val="22"/>
          <w:lang w:val="en-US"/>
        </w:rPr>
      </w:pPr>
      <w:r w:rsidRPr="0062085B">
        <w:rPr>
          <w:rFonts w:cs="Calibri"/>
          <w:sz w:val="22"/>
          <w:szCs w:val="22"/>
          <w:lang w:val="en-US"/>
        </w:rPr>
        <w:t>Professor Catriona Seth (Marshal Foch Professor of French Literature, All Souls’ College, Oxford University) [</w:t>
      </w:r>
      <w:hyperlink r:id="rId7" w:history="1">
        <w:r w:rsidRPr="0062085B">
          <w:rPr>
            <w:rFonts w:cs="Calibri"/>
            <w:color w:val="0000E9"/>
            <w:sz w:val="22"/>
            <w:szCs w:val="22"/>
            <w:u w:val="single" w:color="0000E9"/>
            <w:lang w:val="en-US"/>
          </w:rPr>
          <w:t>catriona.seth@mod-langs.ox.ac.uk</w:t>
        </w:r>
      </w:hyperlink>
      <w:r w:rsidRPr="0062085B">
        <w:rPr>
          <w:rFonts w:cs="Calibri"/>
          <w:sz w:val="22"/>
          <w:szCs w:val="22"/>
          <w:lang w:val="en-US"/>
        </w:rPr>
        <w:t>]</w:t>
      </w:r>
      <w:r w:rsidR="00D116BB">
        <w:rPr>
          <w:rFonts w:cs="Calibri"/>
          <w:sz w:val="22"/>
          <w:szCs w:val="22"/>
          <w:lang w:val="en-US"/>
        </w:rPr>
        <w:br/>
      </w:r>
    </w:p>
    <w:p w14:paraId="1F8F294B" w14:textId="77777777" w:rsidR="0002410B" w:rsidRPr="0062085B" w:rsidRDefault="0027349E" w:rsidP="0027349E">
      <w:pPr>
        <w:rPr>
          <w:sz w:val="22"/>
          <w:szCs w:val="22"/>
        </w:rPr>
      </w:pPr>
      <w:r w:rsidRPr="0062085B">
        <w:rPr>
          <w:rFonts w:cs="Calibri"/>
          <w:sz w:val="22"/>
          <w:szCs w:val="22"/>
          <w:lang w:val="en-US"/>
        </w:rPr>
        <w:t>Professor Nicola J Watson (Professor of English Literature, Open University) [</w:t>
      </w:r>
      <w:hyperlink r:id="rId8" w:history="1">
        <w:r w:rsidRPr="0062085B">
          <w:rPr>
            <w:rFonts w:cs="Calibri"/>
            <w:color w:val="0000E9"/>
            <w:sz w:val="22"/>
            <w:szCs w:val="22"/>
            <w:u w:val="single" w:color="0000E9"/>
            <w:lang w:val="en-US"/>
          </w:rPr>
          <w:t>nicola.watson@open.ac.uk</w:t>
        </w:r>
      </w:hyperlink>
      <w:r w:rsidRPr="0062085B">
        <w:rPr>
          <w:rFonts w:cs="Calibri"/>
          <w:sz w:val="22"/>
          <w:szCs w:val="22"/>
          <w:lang w:val="en-US"/>
        </w:rPr>
        <w:t>]</w:t>
      </w:r>
    </w:p>
    <w:sectPr w:rsidR="0002410B" w:rsidRPr="0062085B" w:rsidSect="000241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355A8"/>
    <w:multiLevelType w:val="hybridMultilevel"/>
    <w:tmpl w:val="A8E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9E"/>
    <w:rsid w:val="0002410B"/>
    <w:rsid w:val="00094063"/>
    <w:rsid w:val="0013117E"/>
    <w:rsid w:val="0027349E"/>
    <w:rsid w:val="002B4300"/>
    <w:rsid w:val="003014D4"/>
    <w:rsid w:val="0049528E"/>
    <w:rsid w:val="0062085B"/>
    <w:rsid w:val="009C3A67"/>
    <w:rsid w:val="00D116BB"/>
    <w:rsid w:val="00EE72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477D6"/>
  <w14:defaultImageDpi w14:val="300"/>
  <w15:docId w15:val="{241A6B00-F893-470B-974F-C8301972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85B"/>
    <w:pPr>
      <w:ind w:left="720"/>
      <w:contextualSpacing/>
    </w:pPr>
  </w:style>
  <w:style w:type="character" w:styleId="Hyperlink">
    <w:name w:val="Hyperlink"/>
    <w:basedOn w:val="DefaultParagraphFont"/>
    <w:uiPriority w:val="99"/>
    <w:unhideWhenUsed/>
    <w:rsid w:val="00094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watson@open.ac.uk" TargetMode="External"/><Relationship Id="rId3" Type="http://schemas.openxmlformats.org/officeDocument/2006/relationships/settings" Target="settings.xml"/><Relationship Id="rId7" Type="http://schemas.openxmlformats.org/officeDocument/2006/relationships/hyperlink" Target="mailto:catriona.seth@mod-langs.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llian.dow@chawtonhouselibrary.org" TargetMode="External"/><Relationship Id="rId5" Type="http://schemas.openxmlformats.org/officeDocument/2006/relationships/hyperlink" Target="mailto:sw17@soton.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Dow</dc:creator>
  <cp:lastModifiedBy>Storey T.P.</cp:lastModifiedBy>
  <cp:revision>2</cp:revision>
  <dcterms:created xsi:type="dcterms:W3CDTF">2016-06-22T13:39:00Z</dcterms:created>
  <dcterms:modified xsi:type="dcterms:W3CDTF">2016-06-22T13:39:00Z</dcterms:modified>
</cp:coreProperties>
</file>