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75"/>
        <w:gridCol w:w="2245"/>
        <w:gridCol w:w="2407"/>
        <w:gridCol w:w="2115"/>
      </w:tblGrid>
      <w:tr w:rsidR="00733842" w:rsidTr="00733842">
        <w:tc>
          <w:tcPr>
            <w:tcW w:w="2475" w:type="dxa"/>
          </w:tcPr>
          <w:p w:rsidR="00733842" w:rsidRPr="00770F43" w:rsidRDefault="00733842">
            <w:pPr>
              <w:rPr>
                <w:b/>
                <w:bCs/>
              </w:rPr>
            </w:pPr>
            <w:r>
              <w:rPr>
                <w:b/>
                <w:bCs/>
              </w:rPr>
              <w:t>Date</w:t>
            </w:r>
          </w:p>
        </w:tc>
        <w:tc>
          <w:tcPr>
            <w:tcW w:w="2245" w:type="dxa"/>
          </w:tcPr>
          <w:p w:rsidR="00733842" w:rsidRPr="00733842" w:rsidRDefault="00733842" w:rsidP="00770F43">
            <w:pPr>
              <w:rPr>
                <w:b/>
                <w:bCs/>
              </w:rPr>
            </w:pPr>
            <w:r w:rsidRPr="00733842">
              <w:rPr>
                <w:b/>
                <w:bCs/>
              </w:rPr>
              <w:t>Title</w:t>
            </w:r>
          </w:p>
        </w:tc>
        <w:tc>
          <w:tcPr>
            <w:tcW w:w="2407" w:type="dxa"/>
          </w:tcPr>
          <w:p w:rsidR="00733842" w:rsidRPr="00733842" w:rsidRDefault="00733842">
            <w:pPr>
              <w:rPr>
                <w:b/>
                <w:bCs/>
              </w:rPr>
            </w:pPr>
            <w:r w:rsidRPr="00733842">
              <w:rPr>
                <w:b/>
                <w:bCs/>
              </w:rPr>
              <w:t>Presenter (s)</w:t>
            </w:r>
          </w:p>
        </w:tc>
        <w:tc>
          <w:tcPr>
            <w:tcW w:w="2115" w:type="dxa"/>
          </w:tcPr>
          <w:p w:rsidR="00733842" w:rsidRPr="00733842" w:rsidRDefault="00272AE4">
            <w:pPr>
              <w:rPr>
                <w:b/>
                <w:bCs/>
              </w:rPr>
            </w:pPr>
            <w:r>
              <w:rPr>
                <w:b/>
                <w:bCs/>
              </w:rPr>
              <w:t>Research Cluster</w:t>
            </w:r>
          </w:p>
        </w:tc>
      </w:tr>
      <w:tr w:rsidR="00733842" w:rsidTr="00733842">
        <w:tc>
          <w:tcPr>
            <w:tcW w:w="2475" w:type="dxa"/>
          </w:tcPr>
          <w:p w:rsidR="00733842" w:rsidRDefault="00733842">
            <w:pPr>
              <w:rPr>
                <w:b/>
                <w:bCs/>
              </w:rPr>
            </w:pPr>
            <w:r>
              <w:rPr>
                <w:b/>
                <w:bCs/>
              </w:rPr>
              <w:t>Wednesday 19</w:t>
            </w:r>
            <w:r w:rsidRPr="00733842">
              <w:rPr>
                <w:b/>
                <w:bCs/>
                <w:vertAlign w:val="superscript"/>
              </w:rPr>
              <w:t>th</w:t>
            </w:r>
            <w:r>
              <w:rPr>
                <w:b/>
                <w:bCs/>
              </w:rPr>
              <w:t xml:space="preserve"> March</w:t>
            </w:r>
          </w:p>
          <w:p w:rsidR="00733842" w:rsidRDefault="00733842" w:rsidP="00733842">
            <w:pPr>
              <w:rPr>
                <w:b/>
                <w:bCs/>
              </w:rPr>
            </w:pPr>
            <w:r>
              <w:rPr>
                <w:b/>
                <w:bCs/>
              </w:rPr>
              <w:t>3:30 – 5:00 pm</w:t>
            </w:r>
          </w:p>
          <w:p w:rsidR="00272AE4" w:rsidRDefault="002F44C5" w:rsidP="00272AE4">
            <w:pPr>
              <w:rPr>
                <w:bCs/>
              </w:rPr>
            </w:pPr>
            <w:r>
              <w:rPr>
                <w:bCs/>
              </w:rPr>
              <w:t>(Park Building Room 2:01)</w:t>
            </w:r>
          </w:p>
          <w:p w:rsidR="002F44C5" w:rsidRDefault="002F44C5" w:rsidP="00272AE4">
            <w:pPr>
              <w:rPr>
                <w:bCs/>
              </w:rPr>
            </w:pPr>
          </w:p>
          <w:p w:rsidR="002F44C5" w:rsidRPr="00272AE4" w:rsidRDefault="002F44C5" w:rsidP="002F44C5">
            <w:pPr>
              <w:rPr>
                <w:bCs/>
              </w:rPr>
            </w:pPr>
            <w:r>
              <w:rPr>
                <w:bCs/>
              </w:rPr>
              <w:t xml:space="preserve">Refreshments 5:00pm  - 6:00pm </w:t>
            </w:r>
          </w:p>
        </w:tc>
        <w:tc>
          <w:tcPr>
            <w:tcW w:w="2245" w:type="dxa"/>
          </w:tcPr>
          <w:p w:rsidR="00733842" w:rsidRDefault="00272AE4" w:rsidP="00272AE4">
            <w:pPr>
              <w:shd w:val="clear" w:color="auto" w:fill="FFFFFF"/>
              <w:jc w:val="center"/>
            </w:pPr>
            <w:r>
              <w:t>‘</w:t>
            </w:r>
            <w:r w:rsidR="00733842" w:rsidRPr="00272AE4">
              <w:rPr>
                <w:i/>
              </w:rPr>
              <w:t>Examining expertise in burglars in a natural and simulated environment</w:t>
            </w:r>
            <w:r w:rsidRPr="00272AE4">
              <w:rPr>
                <w:i/>
              </w:rPr>
              <w:t>’</w:t>
            </w:r>
          </w:p>
          <w:p w:rsidR="00272AE4" w:rsidRDefault="00272AE4" w:rsidP="00733842">
            <w:pPr>
              <w:shd w:val="clear" w:color="auto" w:fill="FFFFFF"/>
              <w:spacing w:line="384" w:lineRule="atLeast"/>
              <w:jc w:val="center"/>
            </w:pPr>
            <w:r>
              <w:t>[</w:t>
            </w:r>
            <w:r w:rsidRPr="00272AE4">
              <w:t>Abstract below</w:t>
            </w:r>
            <w:r>
              <w:t>]</w:t>
            </w:r>
          </w:p>
        </w:tc>
        <w:tc>
          <w:tcPr>
            <w:tcW w:w="2407" w:type="dxa"/>
          </w:tcPr>
          <w:p w:rsidR="00733842" w:rsidRDefault="00733842"/>
          <w:p w:rsidR="00733842" w:rsidRDefault="00733842" w:rsidP="00733842">
            <w:r w:rsidRPr="00DA6046">
              <w:rPr>
                <w:b/>
              </w:rPr>
              <w:t>Dr Claire Nee</w:t>
            </w:r>
            <w:r>
              <w:t xml:space="preserve"> (Dept of Psychology)</w:t>
            </w:r>
          </w:p>
        </w:tc>
        <w:tc>
          <w:tcPr>
            <w:tcW w:w="2115" w:type="dxa"/>
          </w:tcPr>
          <w:p w:rsidR="00733842" w:rsidRDefault="00DA6046" w:rsidP="00DA6046">
            <w:r>
              <w:rPr>
                <w:i/>
              </w:rPr>
              <w:t>Policing, Crime and Investigation</w:t>
            </w:r>
          </w:p>
        </w:tc>
      </w:tr>
      <w:tr w:rsidR="00733842" w:rsidTr="00733842">
        <w:tc>
          <w:tcPr>
            <w:tcW w:w="2475" w:type="dxa"/>
          </w:tcPr>
          <w:p w:rsidR="00733842" w:rsidRDefault="001B11D5">
            <w:pPr>
              <w:rPr>
                <w:b/>
                <w:bCs/>
              </w:rPr>
            </w:pPr>
            <w:r>
              <w:rPr>
                <w:b/>
                <w:bCs/>
              </w:rPr>
              <w:t>Wednesday 4</w:t>
            </w:r>
            <w:r w:rsidRPr="001B11D5">
              <w:rPr>
                <w:b/>
                <w:bCs/>
                <w:vertAlign w:val="superscript"/>
              </w:rPr>
              <w:t>th</w:t>
            </w:r>
            <w:r>
              <w:rPr>
                <w:b/>
                <w:bCs/>
              </w:rPr>
              <w:t xml:space="preserve"> April</w:t>
            </w:r>
          </w:p>
          <w:p w:rsidR="001B11D5" w:rsidRDefault="001B11D5" w:rsidP="001B11D5">
            <w:pPr>
              <w:rPr>
                <w:b/>
                <w:bCs/>
              </w:rPr>
            </w:pPr>
            <w:r>
              <w:rPr>
                <w:b/>
                <w:bCs/>
              </w:rPr>
              <w:t>4:00 – 5:30 pm</w:t>
            </w:r>
          </w:p>
          <w:p w:rsidR="00DA6046" w:rsidRDefault="002F44C5" w:rsidP="002F44C5">
            <w:pPr>
              <w:rPr>
                <w:bCs/>
              </w:rPr>
            </w:pPr>
            <w:r>
              <w:rPr>
                <w:bCs/>
              </w:rPr>
              <w:t>(Park Building Room 2:01)</w:t>
            </w:r>
          </w:p>
          <w:p w:rsidR="002F44C5" w:rsidRPr="00DA6046" w:rsidRDefault="002F44C5" w:rsidP="002F44C5">
            <w:pPr>
              <w:rPr>
                <w:bCs/>
              </w:rPr>
            </w:pPr>
            <w:r>
              <w:rPr>
                <w:bCs/>
              </w:rPr>
              <w:t>Refreshments 5:30pm – 6:30pm</w:t>
            </w:r>
          </w:p>
        </w:tc>
        <w:tc>
          <w:tcPr>
            <w:tcW w:w="2245" w:type="dxa"/>
          </w:tcPr>
          <w:p w:rsidR="00733842" w:rsidRDefault="00272AE4">
            <w:r>
              <w:t>‘</w:t>
            </w:r>
            <w:r w:rsidR="001B11D5" w:rsidRPr="00272AE4">
              <w:rPr>
                <w:i/>
              </w:rPr>
              <w:t>Formalising surveillance and identity</w:t>
            </w:r>
            <w:r w:rsidRPr="00272AE4">
              <w:rPr>
                <w:i/>
              </w:rPr>
              <w:t>’</w:t>
            </w:r>
          </w:p>
          <w:p w:rsidR="00272AE4" w:rsidRDefault="00272AE4">
            <w:r>
              <w:t>[Abstract below]</w:t>
            </w:r>
          </w:p>
        </w:tc>
        <w:tc>
          <w:tcPr>
            <w:tcW w:w="2407" w:type="dxa"/>
          </w:tcPr>
          <w:p w:rsidR="00272AE4" w:rsidRPr="00DA6046" w:rsidRDefault="00272AE4">
            <w:pPr>
              <w:rPr>
                <w:b/>
              </w:rPr>
            </w:pPr>
            <w:r w:rsidRPr="00DA6046">
              <w:rPr>
                <w:b/>
              </w:rPr>
              <w:t xml:space="preserve">Dr Victoria Wang </w:t>
            </w:r>
          </w:p>
          <w:p w:rsidR="00733842" w:rsidRDefault="00272AE4">
            <w:r w:rsidRPr="00DA6046">
              <w:t>(ICJS)</w:t>
            </w:r>
            <w:r w:rsidRPr="00DA6046">
              <w:rPr>
                <w:b/>
              </w:rPr>
              <w:t xml:space="preserve"> and Dr John Tucker </w:t>
            </w:r>
            <w:r>
              <w:t>(University of Swansea)</w:t>
            </w:r>
          </w:p>
        </w:tc>
        <w:tc>
          <w:tcPr>
            <w:tcW w:w="2115" w:type="dxa"/>
          </w:tcPr>
          <w:p w:rsidR="00733842" w:rsidRPr="00DA6046" w:rsidRDefault="00DA6046" w:rsidP="00DA6046">
            <w:pPr>
              <w:rPr>
                <w:i/>
              </w:rPr>
            </w:pPr>
            <w:r>
              <w:rPr>
                <w:i/>
              </w:rPr>
              <w:t>Risk, Security and Counter Fraud</w:t>
            </w:r>
          </w:p>
        </w:tc>
      </w:tr>
      <w:tr w:rsidR="00733842" w:rsidTr="00733842">
        <w:tc>
          <w:tcPr>
            <w:tcW w:w="2475" w:type="dxa"/>
          </w:tcPr>
          <w:p w:rsidR="00733842" w:rsidRPr="00272AE4" w:rsidRDefault="00272AE4">
            <w:pPr>
              <w:rPr>
                <w:b/>
              </w:rPr>
            </w:pPr>
            <w:r w:rsidRPr="00272AE4">
              <w:rPr>
                <w:b/>
              </w:rPr>
              <w:t>Wednesday 7</w:t>
            </w:r>
            <w:r w:rsidRPr="00272AE4">
              <w:rPr>
                <w:b/>
                <w:vertAlign w:val="superscript"/>
              </w:rPr>
              <w:t>th</w:t>
            </w:r>
            <w:r w:rsidRPr="00272AE4">
              <w:rPr>
                <w:b/>
              </w:rPr>
              <w:t xml:space="preserve"> May </w:t>
            </w:r>
          </w:p>
          <w:p w:rsidR="00272AE4" w:rsidRDefault="00272AE4">
            <w:pPr>
              <w:rPr>
                <w:b/>
              </w:rPr>
            </w:pPr>
            <w:r w:rsidRPr="00272AE4">
              <w:rPr>
                <w:b/>
              </w:rPr>
              <w:t>4:00 – 5:30 pm</w:t>
            </w:r>
          </w:p>
          <w:p w:rsidR="00DA6046" w:rsidRDefault="002F44C5" w:rsidP="002F44C5">
            <w:r>
              <w:t>(Park Building Room 2.01)</w:t>
            </w:r>
          </w:p>
          <w:p w:rsidR="002F44C5" w:rsidRPr="00DA6046" w:rsidRDefault="002F44C5" w:rsidP="002F44C5">
            <w:r>
              <w:t>Refreshments 5:30pm  – 6:30pm</w:t>
            </w:r>
          </w:p>
        </w:tc>
        <w:tc>
          <w:tcPr>
            <w:tcW w:w="2245" w:type="dxa"/>
          </w:tcPr>
          <w:p w:rsidR="00733842" w:rsidRDefault="00272AE4" w:rsidP="00DA6046">
            <w:r>
              <w:t>‘</w:t>
            </w:r>
            <w:r w:rsidRPr="00272AE4">
              <w:rPr>
                <w:i/>
              </w:rPr>
              <w:t xml:space="preserve">The </w:t>
            </w:r>
            <w:proofErr w:type="spellStart"/>
            <w:r w:rsidRPr="00272AE4">
              <w:rPr>
                <w:i/>
              </w:rPr>
              <w:t>Yewtree</w:t>
            </w:r>
            <w:proofErr w:type="spellEnd"/>
            <w:r w:rsidRPr="00272AE4">
              <w:rPr>
                <w:i/>
              </w:rPr>
              <w:t xml:space="preserve"> Effect: Reflections on the </w:t>
            </w:r>
            <w:proofErr w:type="spellStart"/>
            <w:r w:rsidRPr="00272AE4">
              <w:rPr>
                <w:i/>
              </w:rPr>
              <w:t>Savile</w:t>
            </w:r>
            <w:proofErr w:type="spellEnd"/>
            <w:r w:rsidRPr="00272AE4">
              <w:rPr>
                <w:i/>
              </w:rPr>
              <w:t xml:space="preserve"> Inquiry’</w:t>
            </w:r>
          </w:p>
        </w:tc>
        <w:tc>
          <w:tcPr>
            <w:tcW w:w="2407" w:type="dxa"/>
          </w:tcPr>
          <w:p w:rsidR="00272AE4" w:rsidRPr="00DA6046" w:rsidRDefault="00272AE4" w:rsidP="00272AE4">
            <w:pPr>
              <w:rPr>
                <w:b/>
              </w:rPr>
            </w:pPr>
            <w:r w:rsidRPr="00DA6046">
              <w:rPr>
                <w:b/>
              </w:rPr>
              <w:t xml:space="preserve">Peter </w:t>
            </w:r>
            <w:proofErr w:type="spellStart"/>
            <w:r w:rsidRPr="00DA6046">
              <w:rPr>
                <w:b/>
              </w:rPr>
              <w:t>Spindler</w:t>
            </w:r>
            <w:proofErr w:type="spellEnd"/>
            <w:r w:rsidRPr="00DA6046">
              <w:rPr>
                <w:b/>
              </w:rPr>
              <w:t xml:space="preserve"> </w:t>
            </w:r>
          </w:p>
          <w:p w:rsidR="00733842" w:rsidRDefault="00272AE4" w:rsidP="00272AE4">
            <w:r>
              <w:t xml:space="preserve">(Assistant Inspector, MHIC and head of </w:t>
            </w:r>
            <w:proofErr w:type="spellStart"/>
            <w:r>
              <w:t>Yewtree</w:t>
            </w:r>
            <w:proofErr w:type="spellEnd"/>
            <w:r>
              <w:t xml:space="preserve"> investigation) </w:t>
            </w:r>
          </w:p>
        </w:tc>
        <w:tc>
          <w:tcPr>
            <w:tcW w:w="2115" w:type="dxa"/>
          </w:tcPr>
          <w:p w:rsidR="00733842" w:rsidRPr="00DA6046" w:rsidRDefault="00DA6046">
            <w:pPr>
              <w:rPr>
                <w:i/>
              </w:rPr>
            </w:pPr>
            <w:r w:rsidRPr="00DA6046">
              <w:rPr>
                <w:i/>
              </w:rPr>
              <w:t>Policing, Crime and Investigation</w:t>
            </w:r>
          </w:p>
        </w:tc>
      </w:tr>
      <w:tr w:rsidR="00733842" w:rsidTr="00733842">
        <w:tc>
          <w:tcPr>
            <w:tcW w:w="2475" w:type="dxa"/>
          </w:tcPr>
          <w:p w:rsidR="00733842" w:rsidRDefault="00272AE4" w:rsidP="00272AE4">
            <w:pPr>
              <w:rPr>
                <w:b/>
              </w:rPr>
            </w:pPr>
            <w:r>
              <w:rPr>
                <w:b/>
              </w:rPr>
              <w:t>Wednesday  4</w:t>
            </w:r>
            <w:r w:rsidRPr="00272AE4">
              <w:rPr>
                <w:b/>
                <w:vertAlign w:val="superscript"/>
              </w:rPr>
              <w:t>th</w:t>
            </w:r>
            <w:r>
              <w:rPr>
                <w:b/>
              </w:rPr>
              <w:t xml:space="preserve"> June</w:t>
            </w:r>
          </w:p>
          <w:p w:rsidR="00272AE4" w:rsidRDefault="00272AE4" w:rsidP="00272AE4">
            <w:pPr>
              <w:rPr>
                <w:b/>
              </w:rPr>
            </w:pPr>
            <w:r>
              <w:rPr>
                <w:b/>
              </w:rPr>
              <w:t>3: 30 – 5: 30 pm</w:t>
            </w:r>
          </w:p>
          <w:p w:rsidR="00DA6046" w:rsidRDefault="002F44C5" w:rsidP="00272AE4">
            <w:r>
              <w:t>(Park Building Room 2.01)</w:t>
            </w:r>
          </w:p>
          <w:p w:rsidR="002F44C5" w:rsidRPr="00DA6046" w:rsidRDefault="002F44C5" w:rsidP="002F44C5">
            <w:r>
              <w:t>Refreshments 5:50pm-6:30pm</w:t>
            </w:r>
          </w:p>
        </w:tc>
        <w:tc>
          <w:tcPr>
            <w:tcW w:w="2245" w:type="dxa"/>
          </w:tcPr>
          <w:p w:rsidR="00733842" w:rsidRDefault="00272AE4" w:rsidP="00272AE4">
            <w:r>
              <w:t>‘</w:t>
            </w:r>
            <w:r w:rsidRPr="00272AE4">
              <w:rPr>
                <w:i/>
              </w:rPr>
              <w:t xml:space="preserve">Criminalising Social Policy’ </w:t>
            </w:r>
            <w:r>
              <w:t>(3 papers)</w:t>
            </w:r>
          </w:p>
          <w:p w:rsidR="00272AE4" w:rsidRDefault="00272AE4" w:rsidP="00272AE4">
            <w:r>
              <w:t>[Abstracts below[</w:t>
            </w:r>
          </w:p>
        </w:tc>
        <w:tc>
          <w:tcPr>
            <w:tcW w:w="2407" w:type="dxa"/>
          </w:tcPr>
          <w:p w:rsidR="00733842" w:rsidRDefault="00272AE4" w:rsidP="00FA73F7">
            <w:proofErr w:type="spellStart"/>
            <w:r w:rsidRPr="00DA6046">
              <w:rPr>
                <w:b/>
              </w:rPr>
              <w:t>Kieron</w:t>
            </w:r>
            <w:proofErr w:type="spellEnd"/>
            <w:r w:rsidRPr="00DA6046">
              <w:rPr>
                <w:b/>
              </w:rPr>
              <w:t xml:space="preserve"> Hatton</w:t>
            </w:r>
            <w:r w:rsidR="00DA6046">
              <w:rPr>
                <w:b/>
              </w:rPr>
              <w:t xml:space="preserve"> </w:t>
            </w:r>
            <w:r w:rsidR="00DA6046">
              <w:t>(School of Health Sciences and Social Work)</w:t>
            </w:r>
            <w:r w:rsidRPr="00DA6046">
              <w:rPr>
                <w:b/>
              </w:rPr>
              <w:t xml:space="preserve">, </w:t>
            </w:r>
            <w:r w:rsidR="00FA73F7">
              <w:rPr>
                <w:b/>
              </w:rPr>
              <w:t xml:space="preserve">Prof. </w:t>
            </w:r>
            <w:r w:rsidRPr="00DA6046">
              <w:rPr>
                <w:b/>
              </w:rPr>
              <w:t>Carol Hayden</w:t>
            </w:r>
            <w:r>
              <w:t xml:space="preserve"> (ICJS),  </w:t>
            </w:r>
            <w:r w:rsidRPr="000830F4">
              <w:rPr>
                <w:b/>
              </w:rPr>
              <w:t xml:space="preserve">Aaron </w:t>
            </w:r>
            <w:proofErr w:type="spellStart"/>
            <w:r w:rsidRPr="000830F4">
              <w:rPr>
                <w:b/>
              </w:rPr>
              <w:t>Pycroft</w:t>
            </w:r>
            <w:proofErr w:type="spellEnd"/>
            <w:r w:rsidRPr="000830F4">
              <w:rPr>
                <w:b/>
              </w:rPr>
              <w:t xml:space="preserve"> </w:t>
            </w:r>
            <w:r>
              <w:t>(ICJS)</w:t>
            </w:r>
          </w:p>
        </w:tc>
        <w:tc>
          <w:tcPr>
            <w:tcW w:w="2115" w:type="dxa"/>
          </w:tcPr>
          <w:p w:rsidR="00733842" w:rsidRPr="00DA6046" w:rsidRDefault="00DA6046">
            <w:pPr>
              <w:rPr>
                <w:i/>
              </w:rPr>
            </w:pPr>
            <w:r>
              <w:rPr>
                <w:i/>
              </w:rPr>
              <w:t>Youth, Crime and Social Justice</w:t>
            </w:r>
          </w:p>
        </w:tc>
      </w:tr>
    </w:tbl>
    <w:p w:rsidR="00733842" w:rsidRDefault="00733842" w:rsidP="00733842">
      <w:pPr>
        <w:shd w:val="clear" w:color="auto" w:fill="FFFFFF"/>
        <w:spacing w:after="0" w:line="384" w:lineRule="atLeast"/>
        <w:rPr>
          <w:rFonts w:ascii="Times New Roman" w:eastAsia="Times New Roman" w:hAnsi="Times New Roman" w:cs="Times New Roman"/>
          <w:color w:val="222222"/>
          <w:sz w:val="24"/>
          <w:szCs w:val="24"/>
          <w:lang w:eastAsia="en-GB"/>
        </w:rPr>
      </w:pPr>
    </w:p>
    <w:p w:rsidR="00733842" w:rsidRDefault="00733842" w:rsidP="00733842">
      <w:pPr>
        <w:shd w:val="clear" w:color="auto" w:fill="FFFFFF"/>
        <w:spacing w:after="0" w:line="384" w:lineRule="atLeast"/>
        <w:rPr>
          <w:rFonts w:ascii="Times New Roman" w:eastAsia="Times New Roman" w:hAnsi="Times New Roman" w:cs="Times New Roman"/>
          <w:color w:val="222222"/>
          <w:sz w:val="24"/>
          <w:szCs w:val="24"/>
          <w:lang w:eastAsia="en-GB"/>
        </w:rPr>
      </w:pPr>
    </w:p>
    <w:p w:rsidR="00272AE4" w:rsidRPr="00272AE4" w:rsidRDefault="00272AE4" w:rsidP="00733842">
      <w:pPr>
        <w:shd w:val="clear" w:color="auto" w:fill="FFFFFF"/>
        <w:spacing w:after="0" w:line="384" w:lineRule="atLeast"/>
        <w:jc w:val="center"/>
        <w:rPr>
          <w:rFonts w:eastAsia="Times New Roman" w:cs="Times New Roman"/>
          <w:b/>
          <w:color w:val="222222"/>
          <w:sz w:val="28"/>
          <w:szCs w:val="28"/>
          <w:lang w:eastAsia="en-GB"/>
        </w:rPr>
      </w:pPr>
      <w:r w:rsidRPr="00272AE4">
        <w:rPr>
          <w:rFonts w:eastAsia="Times New Roman" w:cs="Times New Roman"/>
          <w:b/>
          <w:color w:val="222222"/>
          <w:sz w:val="28"/>
          <w:szCs w:val="28"/>
          <w:lang w:eastAsia="en-GB"/>
        </w:rPr>
        <w:t>‘</w:t>
      </w:r>
      <w:r w:rsidR="00733842" w:rsidRPr="00272AE4">
        <w:rPr>
          <w:rFonts w:eastAsia="Times New Roman" w:cs="Times New Roman"/>
          <w:b/>
          <w:i/>
          <w:color w:val="222222"/>
          <w:sz w:val="28"/>
          <w:szCs w:val="28"/>
          <w:lang w:eastAsia="en-GB"/>
        </w:rPr>
        <w:t xml:space="preserve">Examining </w:t>
      </w:r>
      <w:r w:rsidR="000C1A0F">
        <w:rPr>
          <w:rFonts w:eastAsia="Times New Roman" w:cs="Times New Roman"/>
          <w:b/>
          <w:i/>
          <w:color w:val="222222"/>
          <w:sz w:val="28"/>
          <w:szCs w:val="28"/>
          <w:lang w:eastAsia="en-GB"/>
        </w:rPr>
        <w:t>E</w:t>
      </w:r>
      <w:r w:rsidR="00733842" w:rsidRPr="00272AE4">
        <w:rPr>
          <w:rFonts w:eastAsia="Times New Roman" w:cs="Times New Roman"/>
          <w:b/>
          <w:i/>
          <w:color w:val="222222"/>
          <w:sz w:val="28"/>
          <w:szCs w:val="28"/>
          <w:lang w:eastAsia="en-GB"/>
        </w:rPr>
        <w:t xml:space="preserve">xpertise in </w:t>
      </w:r>
      <w:r w:rsidR="000C1A0F">
        <w:rPr>
          <w:rFonts w:eastAsia="Times New Roman" w:cs="Times New Roman"/>
          <w:b/>
          <w:i/>
          <w:color w:val="222222"/>
          <w:sz w:val="28"/>
          <w:szCs w:val="28"/>
          <w:lang w:eastAsia="en-GB"/>
        </w:rPr>
        <w:t>B</w:t>
      </w:r>
      <w:r w:rsidR="00733842" w:rsidRPr="00272AE4">
        <w:rPr>
          <w:rFonts w:eastAsia="Times New Roman" w:cs="Times New Roman"/>
          <w:b/>
          <w:i/>
          <w:color w:val="222222"/>
          <w:sz w:val="28"/>
          <w:szCs w:val="28"/>
          <w:lang w:eastAsia="en-GB"/>
        </w:rPr>
        <w:t xml:space="preserve">urglars in a </w:t>
      </w:r>
      <w:r w:rsidR="000C1A0F">
        <w:rPr>
          <w:rFonts w:eastAsia="Times New Roman" w:cs="Times New Roman"/>
          <w:b/>
          <w:i/>
          <w:color w:val="222222"/>
          <w:sz w:val="28"/>
          <w:szCs w:val="28"/>
          <w:lang w:eastAsia="en-GB"/>
        </w:rPr>
        <w:t>N</w:t>
      </w:r>
      <w:r w:rsidR="00733842" w:rsidRPr="00272AE4">
        <w:rPr>
          <w:rFonts w:eastAsia="Times New Roman" w:cs="Times New Roman"/>
          <w:b/>
          <w:i/>
          <w:color w:val="222222"/>
          <w:sz w:val="28"/>
          <w:szCs w:val="28"/>
          <w:lang w:eastAsia="en-GB"/>
        </w:rPr>
        <w:t xml:space="preserve">atural and a </w:t>
      </w:r>
      <w:r w:rsidR="000C1A0F">
        <w:rPr>
          <w:rFonts w:eastAsia="Times New Roman" w:cs="Times New Roman"/>
          <w:b/>
          <w:i/>
          <w:color w:val="222222"/>
          <w:sz w:val="28"/>
          <w:szCs w:val="28"/>
          <w:lang w:eastAsia="en-GB"/>
        </w:rPr>
        <w:t>S</w:t>
      </w:r>
      <w:r w:rsidR="00733842" w:rsidRPr="00272AE4">
        <w:rPr>
          <w:rFonts w:eastAsia="Times New Roman" w:cs="Times New Roman"/>
          <w:b/>
          <w:i/>
          <w:color w:val="222222"/>
          <w:sz w:val="28"/>
          <w:szCs w:val="28"/>
          <w:lang w:eastAsia="en-GB"/>
        </w:rPr>
        <w:t xml:space="preserve">imulated </w:t>
      </w:r>
      <w:r w:rsidR="000C1A0F">
        <w:rPr>
          <w:rFonts w:eastAsia="Times New Roman" w:cs="Times New Roman"/>
          <w:b/>
          <w:i/>
          <w:color w:val="222222"/>
          <w:sz w:val="28"/>
          <w:szCs w:val="28"/>
          <w:lang w:eastAsia="en-GB"/>
        </w:rPr>
        <w:t>E</w:t>
      </w:r>
      <w:r w:rsidR="00733842" w:rsidRPr="00272AE4">
        <w:rPr>
          <w:rFonts w:eastAsia="Times New Roman" w:cs="Times New Roman"/>
          <w:b/>
          <w:i/>
          <w:color w:val="222222"/>
          <w:sz w:val="28"/>
          <w:szCs w:val="28"/>
          <w:lang w:eastAsia="en-GB"/>
        </w:rPr>
        <w:t>nvironment</w:t>
      </w:r>
      <w:r w:rsidRPr="00272AE4">
        <w:rPr>
          <w:rFonts w:eastAsia="Times New Roman" w:cs="Times New Roman"/>
          <w:b/>
          <w:i/>
          <w:color w:val="222222"/>
          <w:sz w:val="28"/>
          <w:szCs w:val="28"/>
          <w:lang w:eastAsia="en-GB"/>
        </w:rPr>
        <w:t>’</w:t>
      </w:r>
      <w:r w:rsidRPr="00272AE4">
        <w:rPr>
          <w:rFonts w:eastAsia="Times New Roman" w:cs="Times New Roman"/>
          <w:b/>
          <w:color w:val="222222"/>
          <w:sz w:val="28"/>
          <w:szCs w:val="28"/>
          <w:lang w:eastAsia="en-GB"/>
        </w:rPr>
        <w:t xml:space="preserve"> </w:t>
      </w:r>
    </w:p>
    <w:p w:rsidR="00733842" w:rsidRPr="00272AE4" w:rsidRDefault="00272AE4" w:rsidP="00733842">
      <w:pPr>
        <w:shd w:val="clear" w:color="auto" w:fill="FFFFFF"/>
        <w:spacing w:after="0" w:line="384" w:lineRule="atLeast"/>
        <w:jc w:val="center"/>
        <w:rPr>
          <w:rFonts w:eastAsia="Times New Roman" w:cs="Times New Roman"/>
          <w:b/>
          <w:color w:val="222222"/>
          <w:sz w:val="28"/>
          <w:szCs w:val="28"/>
          <w:lang w:eastAsia="en-GB"/>
        </w:rPr>
      </w:pPr>
      <w:r w:rsidRPr="00272AE4">
        <w:rPr>
          <w:rFonts w:eastAsia="Times New Roman" w:cs="Times New Roman"/>
          <w:b/>
          <w:color w:val="222222"/>
          <w:sz w:val="28"/>
          <w:szCs w:val="28"/>
          <w:lang w:eastAsia="en-GB"/>
        </w:rPr>
        <w:t>(Claire Nee)</w:t>
      </w:r>
    </w:p>
    <w:p w:rsidR="00272AE4" w:rsidRPr="00272AE4" w:rsidRDefault="00272AE4" w:rsidP="00733842">
      <w:pPr>
        <w:shd w:val="clear" w:color="auto" w:fill="FFFFFF"/>
        <w:spacing w:after="0" w:line="384" w:lineRule="atLeast"/>
        <w:jc w:val="center"/>
        <w:rPr>
          <w:rFonts w:eastAsia="Times New Roman" w:cs="Arial"/>
          <w:b/>
          <w:color w:val="222222"/>
          <w:sz w:val="24"/>
          <w:szCs w:val="24"/>
          <w:lang w:eastAsia="en-GB"/>
        </w:rPr>
      </w:pPr>
      <w:r w:rsidRPr="00272AE4">
        <w:rPr>
          <w:rFonts w:eastAsia="Times New Roman" w:cs="Arial"/>
          <w:b/>
          <w:color w:val="222222"/>
          <w:sz w:val="24"/>
          <w:szCs w:val="24"/>
          <w:lang w:eastAsia="en-GB"/>
        </w:rPr>
        <w:t>Abstract</w:t>
      </w:r>
    </w:p>
    <w:p w:rsidR="00733842" w:rsidRPr="00272AE4" w:rsidRDefault="00733842" w:rsidP="00733842">
      <w:pPr>
        <w:shd w:val="clear" w:color="auto" w:fill="FFFFFF"/>
        <w:spacing w:after="0" w:line="384" w:lineRule="atLeast"/>
        <w:rPr>
          <w:rFonts w:eastAsia="Times New Roman" w:cs="Times New Roman"/>
          <w:b/>
          <w:color w:val="222222"/>
          <w:sz w:val="24"/>
          <w:szCs w:val="24"/>
          <w:lang w:eastAsia="en-GB"/>
        </w:rPr>
      </w:pPr>
    </w:p>
    <w:p w:rsidR="00733842" w:rsidRPr="00272AE4" w:rsidRDefault="00733842" w:rsidP="00733842">
      <w:pPr>
        <w:shd w:val="clear" w:color="auto" w:fill="FFFFFF"/>
        <w:spacing w:after="0" w:line="384" w:lineRule="atLeast"/>
        <w:rPr>
          <w:rFonts w:eastAsia="Times New Roman" w:cs="Arial"/>
          <w:color w:val="222222"/>
          <w:sz w:val="24"/>
          <w:szCs w:val="24"/>
          <w:lang w:eastAsia="en-GB"/>
        </w:rPr>
      </w:pPr>
      <w:r w:rsidRPr="00272AE4">
        <w:rPr>
          <w:rFonts w:eastAsia="Times New Roman" w:cs="Times New Roman"/>
          <w:color w:val="222222"/>
          <w:sz w:val="24"/>
          <w:szCs w:val="24"/>
          <w:lang w:eastAsia="en-GB"/>
        </w:rPr>
        <w:t xml:space="preserve">Expertise literature in mainstream cognitive psychology is rarely applied to criminal behaviour. Yet, if closely scrutinised, examples of the characteristics of expertise can be identified in many studies of the cognitive processes of offenders, especially regarding residential burglary.  In the study I will describe, we set out to empirically test hypotheses regarding expertise in burglars derived from a number of interview and experimental studies. Secondly, we wanted to test whether a simulated environment would elicit similar behaviour to that of the real environment. We observed, for the first time, the behaviour of ‘expert’ offenders (ex-burglars) and novices (students) in a real and in a simulated environment. Both samples undertook a mock burglary in a real house and in a simulated house on a computer. Both environments elicited notably different behaviours between the experts and novices with the experts demonstrating superior skill.  This was seen in: more time spent in high value areas; fewer and more valuable items stolen; and more systematic </w:t>
      </w:r>
      <w:r w:rsidRPr="00272AE4">
        <w:rPr>
          <w:rFonts w:eastAsia="Times New Roman" w:cs="Times New Roman"/>
          <w:color w:val="222222"/>
          <w:sz w:val="24"/>
          <w:szCs w:val="24"/>
          <w:lang w:eastAsia="en-GB"/>
        </w:rPr>
        <w:lastRenderedPageBreak/>
        <w:t>routes taken around the environments. I will discuss the value of the expertise paradigm for improving our understanding of offending behaviour and the implications of utilising these new observational methodologies for reducing crime.</w:t>
      </w:r>
    </w:p>
    <w:p w:rsidR="00D44959" w:rsidRDefault="00F67613">
      <w:pPr>
        <w:rPr>
          <w:sz w:val="24"/>
          <w:szCs w:val="24"/>
        </w:rPr>
      </w:pPr>
    </w:p>
    <w:p w:rsidR="00033559" w:rsidRDefault="00033559">
      <w:pPr>
        <w:rPr>
          <w:sz w:val="24"/>
          <w:szCs w:val="24"/>
        </w:rPr>
      </w:pPr>
    </w:p>
    <w:p w:rsidR="00272AE4" w:rsidRDefault="00272AE4" w:rsidP="00272AE4">
      <w:pPr>
        <w:spacing w:after="0" w:line="360" w:lineRule="auto"/>
        <w:jc w:val="center"/>
        <w:outlineLvl w:val="0"/>
        <w:rPr>
          <w:b/>
          <w:sz w:val="24"/>
          <w:szCs w:val="24"/>
        </w:rPr>
      </w:pPr>
    </w:p>
    <w:p w:rsidR="001B11D5" w:rsidRPr="00272AE4" w:rsidRDefault="00272AE4" w:rsidP="00272AE4">
      <w:pPr>
        <w:spacing w:after="0" w:line="360" w:lineRule="auto"/>
        <w:jc w:val="center"/>
        <w:outlineLvl w:val="0"/>
        <w:rPr>
          <w:b/>
          <w:sz w:val="28"/>
          <w:szCs w:val="28"/>
        </w:rPr>
      </w:pPr>
      <w:r w:rsidRPr="00272AE4">
        <w:rPr>
          <w:b/>
          <w:sz w:val="28"/>
          <w:szCs w:val="28"/>
        </w:rPr>
        <w:t>‘</w:t>
      </w:r>
      <w:r w:rsidR="001B11D5" w:rsidRPr="00272AE4">
        <w:rPr>
          <w:b/>
          <w:i/>
          <w:sz w:val="28"/>
          <w:szCs w:val="28"/>
        </w:rPr>
        <w:t>Formalising Surveillance and Identity</w:t>
      </w:r>
      <w:r w:rsidRPr="00272AE4">
        <w:rPr>
          <w:b/>
          <w:sz w:val="28"/>
          <w:szCs w:val="28"/>
        </w:rPr>
        <w:t>’</w:t>
      </w:r>
    </w:p>
    <w:p w:rsidR="001B11D5" w:rsidRPr="00272AE4" w:rsidRDefault="00272AE4" w:rsidP="001B11D5">
      <w:pPr>
        <w:spacing w:after="0" w:line="360" w:lineRule="auto"/>
        <w:jc w:val="center"/>
        <w:outlineLvl w:val="0"/>
        <w:rPr>
          <w:b/>
          <w:sz w:val="28"/>
          <w:szCs w:val="28"/>
        </w:rPr>
      </w:pPr>
      <w:r>
        <w:rPr>
          <w:b/>
          <w:sz w:val="28"/>
          <w:szCs w:val="28"/>
        </w:rPr>
        <w:t>(</w:t>
      </w:r>
      <w:r w:rsidR="001B11D5" w:rsidRPr="00272AE4">
        <w:rPr>
          <w:b/>
          <w:sz w:val="28"/>
          <w:szCs w:val="28"/>
        </w:rPr>
        <w:t>Victoria Wang and John Tucker</w:t>
      </w:r>
      <w:r>
        <w:rPr>
          <w:b/>
          <w:sz w:val="28"/>
          <w:szCs w:val="28"/>
        </w:rPr>
        <w:t>)</w:t>
      </w:r>
    </w:p>
    <w:p w:rsidR="001B11D5" w:rsidRPr="00272AE4" w:rsidRDefault="001B11D5" w:rsidP="001B11D5">
      <w:pPr>
        <w:spacing w:line="360" w:lineRule="auto"/>
        <w:jc w:val="center"/>
        <w:outlineLvl w:val="0"/>
        <w:rPr>
          <w:b/>
          <w:sz w:val="24"/>
          <w:szCs w:val="24"/>
        </w:rPr>
      </w:pPr>
      <w:r w:rsidRPr="00272AE4">
        <w:rPr>
          <w:b/>
          <w:sz w:val="24"/>
          <w:szCs w:val="24"/>
        </w:rPr>
        <w:t>Abstract</w:t>
      </w:r>
    </w:p>
    <w:p w:rsidR="001B11D5" w:rsidRPr="00272AE4" w:rsidRDefault="001B11D5" w:rsidP="00272AE4">
      <w:pPr>
        <w:spacing w:line="360" w:lineRule="auto"/>
        <w:ind w:right="663"/>
        <w:jc w:val="both"/>
        <w:rPr>
          <w:sz w:val="24"/>
          <w:szCs w:val="24"/>
        </w:rPr>
      </w:pPr>
      <w:r w:rsidRPr="00272AE4">
        <w:rPr>
          <w:sz w:val="24"/>
          <w:szCs w:val="24"/>
        </w:rPr>
        <w:t>Surveillance is a social phenomenon that is general and commonplace, employed by governments, companies and communities. Its ubiquity is due to technologies for gathering and processing data; its strong and obvious effects raise difficult social questions. We give a general definition of surveillance that captures the notion in diverse situations and we illustrate it with some disparate examples. A most important, if neglected, component idea is that of the identity of the people or objects observed. We propose a general definition of identifiers as data designed to specify the identity of an entity in some context or for some purpose. We examine the ways identifiers depend upon other identifiers and show the provenance of identifiers requires reductions between identifiers and a special idea of personal identifier. The theory is formalised mathematically. Finally, we reflect on the role of formal methods to give insights in sociological contexts.</w:t>
      </w:r>
    </w:p>
    <w:p w:rsidR="00272AE4" w:rsidRDefault="00272AE4" w:rsidP="00272AE4">
      <w:pPr>
        <w:spacing w:after="0" w:line="240" w:lineRule="auto"/>
        <w:rPr>
          <w:rFonts w:cs="Arial"/>
          <w:b/>
          <w:sz w:val="24"/>
          <w:szCs w:val="24"/>
        </w:rPr>
      </w:pPr>
    </w:p>
    <w:p w:rsidR="00972A7F" w:rsidRDefault="00972A7F" w:rsidP="00272AE4">
      <w:pPr>
        <w:spacing w:after="0" w:line="240" w:lineRule="auto"/>
        <w:rPr>
          <w:rFonts w:cs="Arial"/>
          <w:b/>
          <w:sz w:val="24"/>
          <w:szCs w:val="24"/>
        </w:rPr>
      </w:pPr>
    </w:p>
    <w:p w:rsidR="00972A7F" w:rsidRDefault="00972A7F" w:rsidP="00272AE4">
      <w:pPr>
        <w:spacing w:after="0" w:line="240" w:lineRule="auto"/>
        <w:rPr>
          <w:rFonts w:cs="Arial"/>
          <w:b/>
          <w:sz w:val="24"/>
          <w:szCs w:val="24"/>
        </w:rPr>
      </w:pPr>
    </w:p>
    <w:p w:rsidR="00972A7F" w:rsidRDefault="00972A7F" w:rsidP="00272AE4">
      <w:pPr>
        <w:spacing w:after="0" w:line="240" w:lineRule="auto"/>
        <w:rPr>
          <w:rFonts w:cs="Arial"/>
          <w:b/>
          <w:sz w:val="24"/>
          <w:szCs w:val="24"/>
        </w:rPr>
      </w:pPr>
    </w:p>
    <w:p w:rsidR="00972A7F" w:rsidRDefault="00972A7F" w:rsidP="00272AE4">
      <w:pPr>
        <w:spacing w:after="0" w:line="240" w:lineRule="auto"/>
        <w:rPr>
          <w:rFonts w:cs="Arial"/>
          <w:b/>
          <w:sz w:val="24"/>
          <w:szCs w:val="24"/>
        </w:rPr>
      </w:pPr>
    </w:p>
    <w:p w:rsidR="00972A7F" w:rsidRDefault="00972A7F" w:rsidP="00272AE4">
      <w:pPr>
        <w:spacing w:after="0" w:line="240" w:lineRule="auto"/>
        <w:rPr>
          <w:rFonts w:cs="Arial"/>
          <w:b/>
          <w:sz w:val="24"/>
          <w:szCs w:val="24"/>
        </w:rPr>
      </w:pPr>
    </w:p>
    <w:p w:rsidR="00972A7F" w:rsidRDefault="00972A7F" w:rsidP="00272AE4">
      <w:pPr>
        <w:spacing w:after="0" w:line="240" w:lineRule="auto"/>
        <w:rPr>
          <w:rFonts w:cs="Arial"/>
          <w:b/>
          <w:sz w:val="24"/>
          <w:szCs w:val="24"/>
        </w:rPr>
      </w:pPr>
    </w:p>
    <w:p w:rsidR="00272AE4" w:rsidRPr="00272AE4" w:rsidRDefault="00272AE4" w:rsidP="00272AE4">
      <w:pPr>
        <w:spacing w:after="0" w:line="240" w:lineRule="auto"/>
        <w:rPr>
          <w:rFonts w:cs="Arial"/>
          <w:b/>
          <w:sz w:val="24"/>
          <w:szCs w:val="24"/>
        </w:rPr>
      </w:pPr>
    </w:p>
    <w:p w:rsidR="00272AE4" w:rsidRPr="00272AE4" w:rsidRDefault="00272AE4" w:rsidP="00272AE4">
      <w:pPr>
        <w:spacing w:after="0" w:line="240" w:lineRule="auto"/>
        <w:rPr>
          <w:rFonts w:cs="Arial"/>
          <w:b/>
          <w:sz w:val="24"/>
          <w:szCs w:val="24"/>
        </w:rPr>
      </w:pPr>
    </w:p>
    <w:p w:rsidR="00033559" w:rsidRDefault="00033559" w:rsidP="00272AE4">
      <w:pPr>
        <w:spacing w:after="0" w:line="240" w:lineRule="auto"/>
        <w:ind w:left="2160" w:firstLine="720"/>
        <w:rPr>
          <w:rFonts w:cs="Arial"/>
          <w:b/>
          <w:i/>
          <w:sz w:val="28"/>
          <w:szCs w:val="28"/>
        </w:rPr>
      </w:pPr>
    </w:p>
    <w:p w:rsidR="00033559" w:rsidRDefault="00033559" w:rsidP="00272AE4">
      <w:pPr>
        <w:spacing w:after="0" w:line="240" w:lineRule="auto"/>
        <w:ind w:left="2160" w:firstLine="720"/>
        <w:rPr>
          <w:rFonts w:cs="Arial"/>
          <w:b/>
          <w:i/>
          <w:sz w:val="28"/>
          <w:szCs w:val="28"/>
        </w:rPr>
      </w:pPr>
    </w:p>
    <w:p w:rsidR="00033559" w:rsidRDefault="00033559" w:rsidP="00272AE4">
      <w:pPr>
        <w:spacing w:after="0" w:line="240" w:lineRule="auto"/>
        <w:ind w:left="2160" w:firstLine="720"/>
        <w:rPr>
          <w:rFonts w:cs="Arial"/>
          <w:b/>
          <w:i/>
          <w:sz w:val="28"/>
          <w:szCs w:val="28"/>
        </w:rPr>
      </w:pPr>
    </w:p>
    <w:p w:rsidR="00033559" w:rsidRDefault="00033559" w:rsidP="00272AE4">
      <w:pPr>
        <w:spacing w:after="0" w:line="240" w:lineRule="auto"/>
        <w:ind w:left="2160" w:firstLine="720"/>
        <w:rPr>
          <w:rFonts w:cs="Arial"/>
          <w:b/>
          <w:i/>
          <w:sz w:val="28"/>
          <w:szCs w:val="28"/>
        </w:rPr>
      </w:pPr>
    </w:p>
    <w:p w:rsidR="00272AE4" w:rsidRPr="00272AE4" w:rsidRDefault="00272AE4" w:rsidP="00272AE4">
      <w:pPr>
        <w:spacing w:after="0" w:line="240" w:lineRule="auto"/>
        <w:ind w:left="2160" w:firstLine="720"/>
        <w:rPr>
          <w:rFonts w:cs="Arial"/>
          <w:b/>
          <w:i/>
          <w:sz w:val="24"/>
          <w:szCs w:val="24"/>
        </w:rPr>
      </w:pPr>
      <w:r w:rsidRPr="00272AE4">
        <w:rPr>
          <w:rFonts w:cs="Arial"/>
          <w:b/>
          <w:i/>
          <w:sz w:val="28"/>
          <w:szCs w:val="28"/>
        </w:rPr>
        <w:lastRenderedPageBreak/>
        <w:t xml:space="preserve">Criminalising </w:t>
      </w:r>
      <w:r w:rsidR="000C1A0F">
        <w:rPr>
          <w:rFonts w:cs="Arial"/>
          <w:b/>
          <w:i/>
          <w:sz w:val="28"/>
          <w:szCs w:val="28"/>
        </w:rPr>
        <w:t>S</w:t>
      </w:r>
      <w:r w:rsidRPr="00272AE4">
        <w:rPr>
          <w:rFonts w:cs="Arial"/>
          <w:b/>
          <w:i/>
          <w:sz w:val="28"/>
          <w:szCs w:val="28"/>
        </w:rPr>
        <w:t xml:space="preserve">ocial </w:t>
      </w:r>
      <w:r w:rsidR="000C1A0F">
        <w:rPr>
          <w:rFonts w:cs="Arial"/>
          <w:b/>
          <w:i/>
          <w:sz w:val="28"/>
          <w:szCs w:val="28"/>
        </w:rPr>
        <w:t>P</w:t>
      </w:r>
      <w:r w:rsidRPr="00272AE4">
        <w:rPr>
          <w:rFonts w:cs="Arial"/>
          <w:b/>
          <w:i/>
          <w:sz w:val="28"/>
          <w:szCs w:val="28"/>
        </w:rPr>
        <w:t>olicy</w:t>
      </w:r>
      <w:r w:rsidRPr="00272AE4">
        <w:rPr>
          <w:rFonts w:cs="Arial"/>
          <w:b/>
          <w:i/>
          <w:sz w:val="24"/>
          <w:szCs w:val="24"/>
        </w:rPr>
        <w:t xml:space="preserve"> </w:t>
      </w:r>
    </w:p>
    <w:p w:rsidR="00272AE4" w:rsidRPr="00272AE4" w:rsidRDefault="00272AE4" w:rsidP="00272AE4">
      <w:pPr>
        <w:spacing w:after="0" w:line="240" w:lineRule="auto"/>
        <w:ind w:left="1440" w:firstLine="720"/>
        <w:rPr>
          <w:rFonts w:cs="Arial"/>
          <w:b/>
          <w:sz w:val="28"/>
          <w:szCs w:val="28"/>
        </w:rPr>
      </w:pPr>
      <w:r w:rsidRPr="00272AE4">
        <w:rPr>
          <w:rFonts w:cs="Arial"/>
          <w:b/>
          <w:sz w:val="28"/>
          <w:szCs w:val="28"/>
        </w:rPr>
        <w:t>(</w:t>
      </w:r>
      <w:proofErr w:type="spellStart"/>
      <w:r w:rsidRPr="00272AE4">
        <w:rPr>
          <w:rFonts w:cs="Arial"/>
          <w:b/>
          <w:sz w:val="28"/>
          <w:szCs w:val="28"/>
        </w:rPr>
        <w:t>Kieron</w:t>
      </w:r>
      <w:proofErr w:type="spellEnd"/>
      <w:r w:rsidRPr="00272AE4">
        <w:rPr>
          <w:rFonts w:cs="Arial"/>
          <w:b/>
          <w:sz w:val="28"/>
          <w:szCs w:val="28"/>
        </w:rPr>
        <w:t xml:space="preserve"> Hatton, Carol Hayden and Aaron </w:t>
      </w:r>
      <w:proofErr w:type="spellStart"/>
      <w:r w:rsidRPr="00272AE4">
        <w:rPr>
          <w:rFonts w:cs="Arial"/>
          <w:b/>
          <w:sz w:val="28"/>
          <w:szCs w:val="28"/>
        </w:rPr>
        <w:t>Pycroft</w:t>
      </w:r>
      <w:proofErr w:type="spellEnd"/>
      <w:r w:rsidRPr="00272AE4">
        <w:rPr>
          <w:rFonts w:cs="Arial"/>
          <w:b/>
          <w:sz w:val="28"/>
          <w:szCs w:val="28"/>
        </w:rPr>
        <w:t xml:space="preserve">) </w:t>
      </w:r>
    </w:p>
    <w:p w:rsidR="00272AE4" w:rsidRPr="00272AE4" w:rsidRDefault="00272AE4" w:rsidP="00272AE4">
      <w:pPr>
        <w:spacing w:after="0" w:line="240" w:lineRule="auto"/>
        <w:ind w:left="2880" w:firstLine="720"/>
        <w:rPr>
          <w:rFonts w:cs="Arial"/>
          <w:b/>
          <w:sz w:val="24"/>
          <w:szCs w:val="24"/>
        </w:rPr>
      </w:pPr>
      <w:r w:rsidRPr="00272AE4">
        <w:rPr>
          <w:rFonts w:cs="Arial"/>
          <w:b/>
          <w:sz w:val="24"/>
          <w:szCs w:val="24"/>
        </w:rPr>
        <w:t xml:space="preserve"> Abstracts</w:t>
      </w:r>
    </w:p>
    <w:p w:rsidR="000C1A0F" w:rsidRDefault="000C1A0F" w:rsidP="00272AE4">
      <w:pPr>
        <w:spacing w:after="0" w:line="360" w:lineRule="auto"/>
        <w:rPr>
          <w:rFonts w:cs="Arial"/>
          <w:sz w:val="24"/>
          <w:szCs w:val="24"/>
        </w:rPr>
      </w:pPr>
    </w:p>
    <w:p w:rsidR="00272AE4" w:rsidRDefault="00272AE4" w:rsidP="00272AE4">
      <w:pPr>
        <w:spacing w:after="0" w:line="360" w:lineRule="auto"/>
        <w:rPr>
          <w:rFonts w:cs="Arial"/>
          <w:sz w:val="24"/>
          <w:szCs w:val="24"/>
        </w:rPr>
      </w:pPr>
      <w:r w:rsidRPr="00272AE4">
        <w:rPr>
          <w:rFonts w:cs="Arial"/>
          <w:sz w:val="24"/>
          <w:szCs w:val="24"/>
        </w:rPr>
        <w:t xml:space="preserve">It is well documented how in recent decades social policy and crime have become inextricably linked. So, welfare and social justice based issues have often been recast in relation to anti-social (and criminal) behaviour.  The papers in this session are connected by this theme.  Young people and families in receipt of primarily welfare based support </w:t>
      </w:r>
      <w:bookmarkStart w:id="0" w:name="_GoBack"/>
      <w:bookmarkEnd w:id="0"/>
      <w:r w:rsidRPr="00272AE4">
        <w:rPr>
          <w:rFonts w:cs="Arial"/>
          <w:sz w:val="24"/>
          <w:szCs w:val="24"/>
        </w:rPr>
        <w:t>are variously conceptualised as ‘at risk’, ‘troubled’ in need of ‘social inclusion’ and ‘diversion’ from the criminal justice system.</w:t>
      </w:r>
    </w:p>
    <w:p w:rsidR="00272AE4" w:rsidRDefault="00272AE4" w:rsidP="00272AE4">
      <w:pPr>
        <w:spacing w:after="0" w:line="360" w:lineRule="auto"/>
        <w:rPr>
          <w:rFonts w:cs="Arial"/>
          <w:sz w:val="24"/>
          <w:szCs w:val="24"/>
        </w:rPr>
      </w:pPr>
      <w:r>
        <w:rPr>
          <w:rFonts w:cs="Arial"/>
          <w:sz w:val="24"/>
          <w:szCs w:val="24"/>
        </w:rPr>
        <w:t>Abstract</w:t>
      </w:r>
      <w:r w:rsidR="00DA6046">
        <w:rPr>
          <w:rFonts w:cs="Arial"/>
          <w:sz w:val="24"/>
          <w:szCs w:val="24"/>
        </w:rPr>
        <w:t>s</w:t>
      </w:r>
      <w:r>
        <w:rPr>
          <w:rFonts w:cs="Arial"/>
          <w:sz w:val="24"/>
          <w:szCs w:val="24"/>
        </w:rPr>
        <w:t xml:space="preserve"> for each paper are as follows:</w:t>
      </w:r>
    </w:p>
    <w:p w:rsidR="00272AE4" w:rsidRPr="00272AE4" w:rsidRDefault="00272AE4" w:rsidP="00272AE4">
      <w:pPr>
        <w:spacing w:after="0" w:line="360" w:lineRule="auto"/>
        <w:rPr>
          <w:rFonts w:cs="Arial"/>
          <w:b/>
          <w:sz w:val="24"/>
          <w:szCs w:val="24"/>
        </w:rPr>
      </w:pPr>
      <w:r w:rsidRPr="00272AE4">
        <w:rPr>
          <w:rFonts w:cs="Arial"/>
          <w:b/>
          <w:sz w:val="24"/>
          <w:szCs w:val="24"/>
        </w:rPr>
        <w:t xml:space="preserve">Paper 1: Aaron </w:t>
      </w:r>
      <w:proofErr w:type="spellStart"/>
      <w:r w:rsidRPr="00272AE4">
        <w:rPr>
          <w:rFonts w:cs="Arial"/>
          <w:b/>
          <w:sz w:val="24"/>
          <w:szCs w:val="24"/>
        </w:rPr>
        <w:t>Pycroft</w:t>
      </w:r>
      <w:proofErr w:type="spellEnd"/>
      <w:r w:rsidRPr="00272AE4">
        <w:rPr>
          <w:rFonts w:cs="Arial"/>
          <w:b/>
          <w:sz w:val="24"/>
          <w:szCs w:val="24"/>
        </w:rPr>
        <w:t xml:space="preserve"> – The Need for Creativity in </w:t>
      </w:r>
      <w:proofErr w:type="gramStart"/>
      <w:r w:rsidRPr="00272AE4">
        <w:rPr>
          <w:rFonts w:cs="Arial"/>
          <w:b/>
          <w:sz w:val="24"/>
          <w:szCs w:val="24"/>
        </w:rPr>
        <w:t>Working</w:t>
      </w:r>
      <w:proofErr w:type="gramEnd"/>
      <w:r w:rsidRPr="00272AE4">
        <w:rPr>
          <w:rFonts w:cs="Arial"/>
          <w:b/>
          <w:sz w:val="24"/>
          <w:szCs w:val="24"/>
        </w:rPr>
        <w:t xml:space="preserve"> with ‘at risk’ Adolescents</w:t>
      </w:r>
    </w:p>
    <w:p w:rsidR="00272AE4" w:rsidRPr="00272AE4" w:rsidRDefault="00272AE4" w:rsidP="00272AE4">
      <w:pPr>
        <w:spacing w:after="0" w:line="360" w:lineRule="auto"/>
        <w:rPr>
          <w:rFonts w:cs="Arial"/>
          <w:b/>
          <w:sz w:val="24"/>
          <w:szCs w:val="24"/>
        </w:rPr>
      </w:pPr>
    </w:p>
    <w:p w:rsidR="00272AE4" w:rsidRPr="00272AE4" w:rsidRDefault="00272AE4" w:rsidP="00272AE4">
      <w:pPr>
        <w:spacing w:after="0" w:line="360" w:lineRule="auto"/>
        <w:rPr>
          <w:rFonts w:cs="Arial"/>
          <w:sz w:val="24"/>
          <w:szCs w:val="24"/>
        </w:rPr>
      </w:pPr>
      <w:r w:rsidRPr="00272AE4">
        <w:rPr>
          <w:rFonts w:cs="Arial"/>
          <w:sz w:val="24"/>
          <w:szCs w:val="24"/>
        </w:rPr>
        <w:t>This paper outlines the findings from an English research study using an Interpretive</w:t>
      </w:r>
    </w:p>
    <w:p w:rsidR="00272AE4" w:rsidRPr="00272AE4" w:rsidRDefault="00272AE4" w:rsidP="00272AE4">
      <w:pPr>
        <w:spacing w:after="0" w:line="360" w:lineRule="auto"/>
        <w:jc w:val="both"/>
        <w:rPr>
          <w:rFonts w:cs="Arial"/>
          <w:sz w:val="24"/>
          <w:szCs w:val="24"/>
        </w:rPr>
      </w:pPr>
      <w:proofErr w:type="gramStart"/>
      <w:r w:rsidRPr="00272AE4">
        <w:rPr>
          <w:rFonts w:cs="Arial"/>
          <w:sz w:val="24"/>
          <w:szCs w:val="24"/>
        </w:rPr>
        <w:t>Phenomenological Analysis methodology, with service users of the Unified adolescent Team (UAT) that was carried out in 2009.</w:t>
      </w:r>
      <w:proofErr w:type="gramEnd"/>
      <w:r w:rsidRPr="00272AE4">
        <w:rPr>
          <w:rFonts w:cs="Arial"/>
          <w:sz w:val="24"/>
          <w:szCs w:val="24"/>
        </w:rPr>
        <w:t xml:space="preserve"> The UAT worked with adolescents between the ages of twelve and twenty and who had complex needs which led them to be identified as a ‘hard to reach group’. The research identifies three super-ordinate themes that reflect their experiences of receiving services from the UAT that were freed from the restraints of national standards and performance indicators: in crisis and out of control, new helping relationships and building new lives. This paper discusses these findings and contextualises the work of the UAT within the existing literature on positive engagement with this client group and the challenges that these findings pose to a dominant, reductionist paradigm of risk and punishment in addressing complex needs.</w:t>
      </w:r>
    </w:p>
    <w:p w:rsidR="00272AE4" w:rsidRPr="00272AE4" w:rsidRDefault="00272AE4" w:rsidP="00272AE4">
      <w:pPr>
        <w:spacing w:after="0" w:line="360" w:lineRule="auto"/>
        <w:rPr>
          <w:rFonts w:cs="Arial"/>
          <w:sz w:val="24"/>
          <w:szCs w:val="24"/>
        </w:rPr>
      </w:pPr>
      <w:r w:rsidRPr="00272AE4">
        <w:rPr>
          <w:rFonts w:cs="Arial"/>
          <w:sz w:val="24"/>
          <w:szCs w:val="24"/>
        </w:rPr>
        <w:t xml:space="preserve">SEE: </w:t>
      </w:r>
      <w:proofErr w:type="spellStart"/>
      <w:r w:rsidRPr="00272AE4">
        <w:rPr>
          <w:rFonts w:cs="Arial"/>
          <w:sz w:val="24"/>
          <w:szCs w:val="24"/>
        </w:rPr>
        <w:t>Pycroft</w:t>
      </w:r>
      <w:proofErr w:type="spellEnd"/>
      <w:r w:rsidRPr="00272AE4">
        <w:rPr>
          <w:rFonts w:cs="Arial"/>
          <w:sz w:val="24"/>
          <w:szCs w:val="24"/>
        </w:rPr>
        <w:t xml:space="preserve">, A., Wallis, A., </w:t>
      </w:r>
      <w:proofErr w:type="spellStart"/>
      <w:r w:rsidRPr="00272AE4">
        <w:rPr>
          <w:rFonts w:cs="Arial"/>
          <w:sz w:val="24"/>
          <w:szCs w:val="24"/>
        </w:rPr>
        <w:t>Bigg</w:t>
      </w:r>
      <w:proofErr w:type="spellEnd"/>
      <w:r w:rsidRPr="00272AE4">
        <w:rPr>
          <w:rFonts w:cs="Arial"/>
          <w:sz w:val="24"/>
          <w:szCs w:val="24"/>
        </w:rPr>
        <w:t>, J, and Webster, G (2013) ‘Participation, Engagement and Change: A Study of Service Users of the Unified Adolescent Team’ in </w:t>
      </w:r>
      <w:r w:rsidRPr="00272AE4">
        <w:rPr>
          <w:rFonts w:cs="Arial"/>
          <w:i/>
          <w:iCs/>
          <w:sz w:val="24"/>
          <w:szCs w:val="24"/>
        </w:rPr>
        <w:t>British Journal of Social Work, 1-18, </w:t>
      </w:r>
      <w:r w:rsidRPr="00272AE4">
        <w:rPr>
          <w:rFonts w:cs="Arial"/>
          <w:sz w:val="24"/>
          <w:szCs w:val="24"/>
        </w:rPr>
        <w:t>doi:10.1093/</w:t>
      </w:r>
      <w:proofErr w:type="spellStart"/>
      <w:r w:rsidRPr="00272AE4">
        <w:rPr>
          <w:rFonts w:cs="Arial"/>
          <w:sz w:val="24"/>
          <w:szCs w:val="24"/>
        </w:rPr>
        <w:t>bjsw</w:t>
      </w:r>
      <w:proofErr w:type="spellEnd"/>
      <w:r w:rsidRPr="00272AE4">
        <w:rPr>
          <w:rFonts w:cs="Arial"/>
          <w:sz w:val="24"/>
          <w:szCs w:val="24"/>
        </w:rPr>
        <w:t>/bct089 </w:t>
      </w:r>
    </w:p>
    <w:p w:rsidR="00272AE4" w:rsidRPr="00272AE4" w:rsidRDefault="00272AE4" w:rsidP="00272AE4">
      <w:pPr>
        <w:spacing w:after="0" w:line="360" w:lineRule="auto"/>
        <w:rPr>
          <w:rFonts w:cs="Arial"/>
          <w:b/>
          <w:sz w:val="24"/>
          <w:szCs w:val="24"/>
        </w:rPr>
      </w:pPr>
    </w:p>
    <w:p w:rsidR="00272AE4" w:rsidRPr="00272AE4" w:rsidRDefault="00272AE4" w:rsidP="00272AE4">
      <w:pPr>
        <w:spacing w:after="0" w:line="360" w:lineRule="auto"/>
        <w:rPr>
          <w:rFonts w:cs="Arial"/>
          <w:b/>
          <w:sz w:val="24"/>
          <w:szCs w:val="24"/>
        </w:rPr>
      </w:pPr>
      <w:r w:rsidRPr="00272AE4">
        <w:rPr>
          <w:rFonts w:cs="Arial"/>
          <w:b/>
          <w:sz w:val="24"/>
          <w:szCs w:val="24"/>
        </w:rPr>
        <w:t xml:space="preserve">Paper 2: Carol Hayden and Craig Jenkins </w:t>
      </w:r>
      <w:proofErr w:type="gramStart"/>
      <w:r w:rsidRPr="00272AE4">
        <w:rPr>
          <w:rFonts w:cs="Arial"/>
          <w:b/>
          <w:sz w:val="24"/>
          <w:szCs w:val="24"/>
        </w:rPr>
        <w:t>–  The</w:t>
      </w:r>
      <w:proofErr w:type="gramEnd"/>
      <w:r w:rsidRPr="00272AE4">
        <w:rPr>
          <w:rFonts w:cs="Arial"/>
          <w:b/>
          <w:sz w:val="24"/>
          <w:szCs w:val="24"/>
        </w:rPr>
        <w:t xml:space="preserve"> ‘Troubled Families’ Agenda</w:t>
      </w:r>
    </w:p>
    <w:p w:rsidR="00272AE4" w:rsidRPr="00272AE4" w:rsidRDefault="00272AE4" w:rsidP="00272AE4">
      <w:pPr>
        <w:spacing w:after="0" w:line="360" w:lineRule="auto"/>
        <w:jc w:val="both"/>
        <w:rPr>
          <w:rFonts w:cs="Arial"/>
          <w:sz w:val="24"/>
          <w:szCs w:val="24"/>
        </w:rPr>
      </w:pPr>
      <w:r w:rsidRPr="00272AE4">
        <w:rPr>
          <w:rFonts w:cs="Arial"/>
          <w:sz w:val="24"/>
          <w:szCs w:val="24"/>
        </w:rPr>
        <w:t>‘Troubled families’ are currently a key</w:t>
      </w:r>
      <w:r w:rsidRPr="00272AE4">
        <w:rPr>
          <w:rFonts w:cs="Arial"/>
          <w:i/>
          <w:sz w:val="24"/>
          <w:szCs w:val="24"/>
        </w:rPr>
        <w:t xml:space="preserve"> </w:t>
      </w:r>
      <w:r w:rsidRPr="00272AE4">
        <w:rPr>
          <w:rFonts w:cs="Arial"/>
          <w:sz w:val="24"/>
          <w:szCs w:val="24"/>
        </w:rPr>
        <w:t xml:space="preserve">social policy focus of the Coalition government in the UK.   In common with New Labour, the Coalition views these families as having a ‘responsibility deficit’ in relation to taking up paid work, causing a disproportionate amount </w:t>
      </w:r>
      <w:r w:rsidRPr="00272AE4">
        <w:rPr>
          <w:rFonts w:cs="Arial"/>
          <w:sz w:val="24"/>
          <w:szCs w:val="24"/>
        </w:rPr>
        <w:lastRenderedPageBreak/>
        <w:t xml:space="preserve">of anti-social behaviour and failing their children in myriad costly ways.  Links between the current agenda and a response to the August 2011 riots in England are explicit. The Department for Communities and Local Government, DCLG (2013, </w:t>
      </w:r>
      <w:proofErr w:type="spellStart"/>
      <w:r w:rsidRPr="00272AE4">
        <w:rPr>
          <w:rFonts w:cs="Arial"/>
          <w:sz w:val="24"/>
          <w:szCs w:val="24"/>
        </w:rPr>
        <w:t>para</w:t>
      </w:r>
      <w:proofErr w:type="spellEnd"/>
      <w:r w:rsidRPr="00272AE4">
        <w:rPr>
          <w:rFonts w:cs="Arial"/>
          <w:sz w:val="24"/>
          <w:szCs w:val="24"/>
        </w:rPr>
        <w:t xml:space="preserve"> 1) provides the following definition of a troubled family:</w:t>
      </w:r>
    </w:p>
    <w:p w:rsidR="00272AE4" w:rsidRPr="00272AE4" w:rsidRDefault="00272AE4" w:rsidP="00272AE4">
      <w:pPr>
        <w:spacing w:after="0" w:line="360" w:lineRule="auto"/>
        <w:ind w:left="720"/>
        <w:jc w:val="both"/>
        <w:rPr>
          <w:rFonts w:cs="Arial"/>
          <w:color w:val="000000"/>
          <w:sz w:val="24"/>
          <w:szCs w:val="24"/>
          <w:shd w:val="clear" w:color="auto" w:fill="FFFFFF"/>
        </w:rPr>
      </w:pPr>
      <w:r w:rsidRPr="00272AE4">
        <w:rPr>
          <w:rFonts w:cs="Arial"/>
          <w:i/>
          <w:color w:val="000000"/>
          <w:sz w:val="24"/>
          <w:szCs w:val="24"/>
          <w:shd w:val="clear" w:color="auto" w:fill="FFFFFF"/>
        </w:rPr>
        <w:t xml:space="preserve">Troubled families are those that </w:t>
      </w:r>
      <w:r w:rsidRPr="00272AE4">
        <w:rPr>
          <w:rFonts w:cs="Arial"/>
          <w:i/>
          <w:color w:val="000000"/>
          <w:sz w:val="24"/>
          <w:szCs w:val="24"/>
          <w:u w:val="single"/>
          <w:shd w:val="clear" w:color="auto" w:fill="FFFFFF"/>
        </w:rPr>
        <w:t>have</w:t>
      </w:r>
      <w:r w:rsidRPr="00272AE4">
        <w:rPr>
          <w:rFonts w:cs="Arial"/>
          <w:i/>
          <w:color w:val="000000"/>
          <w:sz w:val="24"/>
          <w:szCs w:val="24"/>
          <w:shd w:val="clear" w:color="auto" w:fill="FFFFFF"/>
        </w:rPr>
        <w:t xml:space="preserve"> problems and </w:t>
      </w:r>
      <w:r w:rsidRPr="00272AE4">
        <w:rPr>
          <w:rFonts w:cs="Arial"/>
          <w:i/>
          <w:color w:val="000000"/>
          <w:sz w:val="24"/>
          <w:szCs w:val="24"/>
          <w:u w:val="single"/>
          <w:shd w:val="clear" w:color="auto" w:fill="FFFFFF"/>
        </w:rPr>
        <w:t>cause</w:t>
      </w:r>
      <w:r w:rsidRPr="00272AE4">
        <w:rPr>
          <w:rFonts w:cs="Arial"/>
          <w:i/>
          <w:color w:val="000000"/>
          <w:sz w:val="24"/>
          <w:szCs w:val="24"/>
          <w:shd w:val="clear" w:color="auto" w:fill="FFFFFF"/>
        </w:rPr>
        <w:t xml:space="preserve"> problems to the community around them, putting high costs to the public sector </w:t>
      </w:r>
      <w:r w:rsidRPr="00272AE4">
        <w:rPr>
          <w:rFonts w:cs="Arial"/>
          <w:color w:val="000000"/>
          <w:sz w:val="24"/>
          <w:szCs w:val="24"/>
          <w:shd w:val="clear" w:color="auto" w:fill="FFFFFF"/>
        </w:rPr>
        <w:t>[our emphasis].</w:t>
      </w:r>
    </w:p>
    <w:p w:rsidR="00272AE4" w:rsidRPr="00272AE4" w:rsidRDefault="00272AE4" w:rsidP="00272AE4">
      <w:pPr>
        <w:spacing w:after="0" w:line="360" w:lineRule="auto"/>
        <w:rPr>
          <w:rFonts w:cs="Arial"/>
          <w:sz w:val="24"/>
          <w:szCs w:val="24"/>
        </w:rPr>
      </w:pPr>
    </w:p>
    <w:p w:rsidR="00272AE4" w:rsidRPr="00272AE4" w:rsidRDefault="00272AE4" w:rsidP="00272AE4">
      <w:pPr>
        <w:spacing w:after="0" w:line="360" w:lineRule="auto"/>
        <w:rPr>
          <w:rFonts w:cs="Arial"/>
          <w:b/>
          <w:sz w:val="24"/>
          <w:szCs w:val="24"/>
        </w:rPr>
      </w:pPr>
      <w:r w:rsidRPr="00272AE4">
        <w:rPr>
          <w:rFonts w:cs="Arial"/>
          <w:sz w:val="24"/>
          <w:szCs w:val="24"/>
        </w:rPr>
        <w:t>The paper takes a critical look at the ‘Troubled Families’ Agenda drawing on ongoing empirical research on two local programmes.</w:t>
      </w:r>
    </w:p>
    <w:p w:rsidR="00272AE4" w:rsidRPr="00272AE4" w:rsidRDefault="00272AE4" w:rsidP="00272AE4">
      <w:pPr>
        <w:spacing w:after="0" w:line="360" w:lineRule="auto"/>
        <w:jc w:val="both"/>
        <w:rPr>
          <w:rFonts w:cs="Arial"/>
          <w:sz w:val="24"/>
          <w:szCs w:val="24"/>
        </w:rPr>
      </w:pPr>
      <w:r w:rsidRPr="00272AE4">
        <w:rPr>
          <w:rFonts w:cs="Arial"/>
          <w:sz w:val="24"/>
          <w:szCs w:val="24"/>
        </w:rPr>
        <w:t xml:space="preserve">DCLG (2013) </w:t>
      </w:r>
      <w:proofErr w:type="gramStart"/>
      <w:r w:rsidRPr="00272AE4">
        <w:rPr>
          <w:rFonts w:cs="Arial"/>
          <w:i/>
          <w:sz w:val="24"/>
          <w:szCs w:val="24"/>
        </w:rPr>
        <w:t>Helping</w:t>
      </w:r>
      <w:proofErr w:type="gramEnd"/>
      <w:r w:rsidRPr="00272AE4">
        <w:rPr>
          <w:rFonts w:cs="Arial"/>
          <w:i/>
          <w:sz w:val="24"/>
          <w:szCs w:val="24"/>
        </w:rPr>
        <w:t xml:space="preserve"> troubled families turn their lives around</w:t>
      </w:r>
      <w:r w:rsidRPr="00272AE4">
        <w:rPr>
          <w:rFonts w:cs="Arial"/>
          <w:sz w:val="24"/>
          <w:szCs w:val="24"/>
        </w:rPr>
        <w:t>, 12 February</w:t>
      </w:r>
    </w:p>
    <w:p w:rsidR="00272AE4" w:rsidRPr="00272AE4" w:rsidRDefault="00B8244B" w:rsidP="00272AE4">
      <w:pPr>
        <w:spacing w:after="0" w:line="360" w:lineRule="auto"/>
        <w:rPr>
          <w:rFonts w:cs="Arial"/>
          <w:sz w:val="24"/>
          <w:szCs w:val="24"/>
        </w:rPr>
      </w:pPr>
      <w:hyperlink r:id="rId4" w:anchor="background" w:history="1">
        <w:r w:rsidR="00272AE4" w:rsidRPr="00272AE4">
          <w:rPr>
            <w:rStyle w:val="Hyperlink"/>
            <w:rFonts w:cs="Arial"/>
            <w:sz w:val="24"/>
            <w:szCs w:val="24"/>
          </w:rPr>
          <w:t>https://www.gov.uk/government/policies/helping-troubled-families-turn-their-lives-around#background</w:t>
        </w:r>
      </w:hyperlink>
      <w:r w:rsidR="00272AE4" w:rsidRPr="00272AE4">
        <w:rPr>
          <w:rFonts w:cs="Arial"/>
          <w:sz w:val="24"/>
          <w:szCs w:val="24"/>
        </w:rPr>
        <w:t xml:space="preserve"> [downloaded 30.5.2013]</w:t>
      </w:r>
    </w:p>
    <w:p w:rsidR="00272AE4" w:rsidRPr="00272AE4" w:rsidRDefault="00272AE4" w:rsidP="00272AE4">
      <w:pPr>
        <w:pStyle w:val="Heading1"/>
        <w:spacing w:before="0" w:line="360" w:lineRule="auto"/>
        <w:rPr>
          <w:rFonts w:asciiTheme="minorHAnsi" w:hAnsiTheme="minorHAnsi" w:cs="Arial"/>
          <w:b w:val="0"/>
          <w:i/>
          <w:color w:val="auto"/>
          <w:sz w:val="24"/>
          <w:szCs w:val="24"/>
        </w:rPr>
      </w:pPr>
      <w:r w:rsidRPr="00272AE4">
        <w:rPr>
          <w:rFonts w:asciiTheme="minorHAnsi" w:hAnsiTheme="minorHAnsi" w:cs="Arial"/>
          <w:b w:val="0"/>
          <w:color w:val="auto"/>
          <w:sz w:val="24"/>
          <w:szCs w:val="24"/>
        </w:rPr>
        <w:t>SEE:</w:t>
      </w:r>
      <w:r w:rsidRPr="00272AE4">
        <w:rPr>
          <w:rFonts w:asciiTheme="minorHAnsi" w:hAnsiTheme="minorHAnsi" w:cs="Arial"/>
          <w:sz w:val="24"/>
          <w:szCs w:val="24"/>
        </w:rPr>
        <w:t xml:space="preserve"> </w:t>
      </w:r>
      <w:r w:rsidRPr="00272AE4">
        <w:rPr>
          <w:rFonts w:asciiTheme="minorHAnsi" w:hAnsiTheme="minorHAnsi" w:cs="Arial"/>
          <w:b w:val="0"/>
          <w:color w:val="auto"/>
          <w:sz w:val="24"/>
          <w:szCs w:val="24"/>
        </w:rPr>
        <w:t xml:space="preserve">Hayden, C. &amp; Jenkins, </w:t>
      </w:r>
      <w:proofErr w:type="gramStart"/>
      <w:r w:rsidRPr="00272AE4">
        <w:rPr>
          <w:rFonts w:asciiTheme="minorHAnsi" w:hAnsiTheme="minorHAnsi" w:cs="Arial"/>
          <w:b w:val="0"/>
          <w:color w:val="auto"/>
          <w:sz w:val="24"/>
          <w:szCs w:val="24"/>
        </w:rPr>
        <w:t>C</w:t>
      </w:r>
      <w:proofErr w:type="gramEnd"/>
      <w:r w:rsidRPr="00272AE4">
        <w:rPr>
          <w:rFonts w:asciiTheme="minorHAnsi" w:hAnsiTheme="minorHAnsi" w:cs="Arial"/>
          <w:b w:val="0"/>
          <w:color w:val="auto"/>
          <w:sz w:val="24"/>
          <w:szCs w:val="24"/>
        </w:rPr>
        <w:t xml:space="preserve">. (forthcoming) Children taken into Care and Custody and the ‘troubled families’ agenda in England, </w:t>
      </w:r>
      <w:r w:rsidRPr="00272AE4">
        <w:rPr>
          <w:rFonts w:asciiTheme="minorHAnsi" w:hAnsiTheme="minorHAnsi" w:cs="Arial"/>
          <w:b w:val="0"/>
          <w:i/>
          <w:color w:val="auto"/>
          <w:sz w:val="24"/>
          <w:szCs w:val="24"/>
        </w:rPr>
        <w:t>Child and Family Social Work.</w:t>
      </w:r>
    </w:p>
    <w:p w:rsidR="00972A7F" w:rsidRDefault="00972A7F" w:rsidP="00272AE4">
      <w:pPr>
        <w:spacing w:line="360" w:lineRule="auto"/>
        <w:rPr>
          <w:rFonts w:cs="Arial"/>
          <w:b/>
          <w:sz w:val="24"/>
          <w:szCs w:val="24"/>
        </w:rPr>
      </w:pPr>
    </w:p>
    <w:p w:rsidR="00272AE4" w:rsidRPr="00272AE4" w:rsidRDefault="00272AE4" w:rsidP="00272AE4">
      <w:pPr>
        <w:spacing w:line="360" w:lineRule="auto"/>
        <w:rPr>
          <w:rFonts w:cs="Arial"/>
          <w:b/>
          <w:sz w:val="24"/>
          <w:szCs w:val="24"/>
        </w:rPr>
      </w:pPr>
      <w:r w:rsidRPr="00272AE4">
        <w:rPr>
          <w:rFonts w:cs="Arial"/>
          <w:b/>
          <w:sz w:val="24"/>
          <w:szCs w:val="24"/>
        </w:rPr>
        <w:t xml:space="preserve">Paper 3: </w:t>
      </w:r>
      <w:proofErr w:type="spellStart"/>
      <w:r w:rsidRPr="00272AE4">
        <w:rPr>
          <w:rFonts w:cs="Arial"/>
          <w:b/>
          <w:sz w:val="24"/>
          <w:szCs w:val="24"/>
        </w:rPr>
        <w:t>Kieron</w:t>
      </w:r>
      <w:proofErr w:type="spellEnd"/>
      <w:r w:rsidRPr="00272AE4">
        <w:rPr>
          <w:rFonts w:cs="Arial"/>
          <w:b/>
          <w:sz w:val="24"/>
          <w:szCs w:val="24"/>
        </w:rPr>
        <w:t xml:space="preserve"> Hatton – Creativity, Youth inclusion and social pedagogy</w:t>
      </w:r>
    </w:p>
    <w:p w:rsidR="00272AE4" w:rsidRPr="00272AE4" w:rsidRDefault="00272AE4" w:rsidP="00272AE4">
      <w:pPr>
        <w:spacing w:line="360" w:lineRule="auto"/>
        <w:rPr>
          <w:rFonts w:cs="Arial"/>
          <w:sz w:val="24"/>
          <w:szCs w:val="24"/>
        </w:rPr>
      </w:pPr>
      <w:r w:rsidRPr="00272AE4">
        <w:rPr>
          <w:rFonts w:cs="Arial"/>
          <w:sz w:val="24"/>
          <w:szCs w:val="24"/>
        </w:rPr>
        <w:t>There has been considerable interest in the UK about the potential usefulness of social pedagogy (a European method of social intervention) in improving services for children and young people in the UK. This interest has focused primarily on children’s residential services. This paper looks at the way in which social pedagogy can contribute to improving services for young people accessing youth services. It draws on examples from across Europe to indicate why a social pedagogic approach predicated on creativity and social inclusion can potentially significantly improve outcomes for young people accessing youth services and divert them away from the criminal justice system.</w:t>
      </w:r>
    </w:p>
    <w:p w:rsidR="00272AE4" w:rsidRPr="00272AE4" w:rsidRDefault="00272AE4" w:rsidP="00272AE4">
      <w:pPr>
        <w:spacing w:line="360" w:lineRule="auto"/>
        <w:rPr>
          <w:rFonts w:cs="Arial"/>
          <w:sz w:val="24"/>
          <w:szCs w:val="24"/>
        </w:rPr>
      </w:pPr>
      <w:r w:rsidRPr="00272AE4">
        <w:rPr>
          <w:rFonts w:cs="Arial"/>
          <w:sz w:val="24"/>
          <w:szCs w:val="24"/>
        </w:rPr>
        <w:t xml:space="preserve">SEE: Hatton, K (2013) </w:t>
      </w:r>
      <w:r w:rsidRPr="00272AE4">
        <w:rPr>
          <w:rFonts w:cs="Arial"/>
          <w:i/>
          <w:sz w:val="24"/>
          <w:szCs w:val="24"/>
        </w:rPr>
        <w:t>Social Pedagogy in the UK: Theory and Practice</w:t>
      </w:r>
      <w:r w:rsidRPr="00272AE4">
        <w:rPr>
          <w:rFonts w:cs="Arial"/>
          <w:sz w:val="24"/>
          <w:szCs w:val="24"/>
        </w:rPr>
        <w:t xml:space="preserve">.  Lyme Regis: Russell House.  </w:t>
      </w:r>
      <w:proofErr w:type="gramStart"/>
      <w:r w:rsidRPr="00272AE4">
        <w:rPr>
          <w:rFonts w:cs="Arial"/>
          <w:sz w:val="24"/>
          <w:szCs w:val="24"/>
        </w:rPr>
        <w:t>ISBN 9781905541898.</w:t>
      </w:r>
      <w:proofErr w:type="gramEnd"/>
    </w:p>
    <w:p w:rsidR="00733842" w:rsidRDefault="00272AE4" w:rsidP="00033559">
      <w:pPr>
        <w:spacing w:line="360" w:lineRule="auto"/>
      </w:pPr>
      <w:r w:rsidRPr="00272AE4">
        <w:rPr>
          <w:rFonts w:cs="Arial"/>
          <w:sz w:val="24"/>
          <w:szCs w:val="24"/>
        </w:rPr>
        <w:t xml:space="preserve">Hatton, K (2012) </w:t>
      </w:r>
      <w:r w:rsidRPr="00272AE4">
        <w:rPr>
          <w:rFonts w:cs="Arial"/>
          <w:sz w:val="24"/>
          <w:szCs w:val="24"/>
          <w:lang w:eastAsia="en-GB"/>
        </w:rPr>
        <w:t xml:space="preserve">Youth Inclusion and Social Pedagogy: a UK perspective published in </w:t>
      </w:r>
      <w:r w:rsidRPr="00272AE4">
        <w:rPr>
          <w:rFonts w:cs="Arial"/>
          <w:i/>
          <w:iCs/>
          <w:sz w:val="24"/>
          <w:szCs w:val="24"/>
          <w:lang w:eastAsia="en-GB"/>
        </w:rPr>
        <w:t xml:space="preserve">'Biennale </w:t>
      </w:r>
      <w:proofErr w:type="spellStart"/>
      <w:r w:rsidRPr="00272AE4">
        <w:rPr>
          <w:rFonts w:cs="Arial"/>
          <w:i/>
          <w:iCs/>
          <w:sz w:val="24"/>
          <w:szCs w:val="24"/>
          <w:lang w:eastAsia="en-GB"/>
        </w:rPr>
        <w:t>internationale</w:t>
      </w:r>
      <w:proofErr w:type="spellEnd"/>
      <w:r w:rsidRPr="00272AE4">
        <w:rPr>
          <w:rFonts w:cs="Arial"/>
          <w:i/>
          <w:iCs/>
          <w:sz w:val="24"/>
          <w:szCs w:val="24"/>
          <w:lang w:eastAsia="en-GB"/>
        </w:rPr>
        <w:t xml:space="preserve"> </w:t>
      </w:r>
      <w:proofErr w:type="spellStart"/>
      <w:r w:rsidRPr="00272AE4">
        <w:rPr>
          <w:rFonts w:cs="Arial"/>
          <w:i/>
          <w:iCs/>
          <w:sz w:val="24"/>
          <w:szCs w:val="24"/>
          <w:lang w:eastAsia="en-GB"/>
        </w:rPr>
        <w:t>l'education</w:t>
      </w:r>
      <w:proofErr w:type="spellEnd"/>
      <w:r w:rsidRPr="00272AE4">
        <w:rPr>
          <w:rFonts w:cs="Arial"/>
          <w:i/>
          <w:iCs/>
          <w:sz w:val="24"/>
          <w:szCs w:val="24"/>
          <w:lang w:eastAsia="en-GB"/>
        </w:rPr>
        <w:t xml:space="preserve">, de la formation et des </w:t>
      </w:r>
      <w:proofErr w:type="spellStart"/>
      <w:r w:rsidRPr="00272AE4">
        <w:rPr>
          <w:rFonts w:cs="Arial"/>
          <w:i/>
          <w:iCs/>
          <w:sz w:val="24"/>
          <w:szCs w:val="24"/>
          <w:lang w:eastAsia="en-GB"/>
        </w:rPr>
        <w:t>pratiques</w:t>
      </w:r>
      <w:proofErr w:type="spellEnd"/>
      <w:r w:rsidRPr="00272AE4">
        <w:rPr>
          <w:rFonts w:cs="Arial"/>
          <w:i/>
          <w:iCs/>
          <w:sz w:val="24"/>
          <w:szCs w:val="24"/>
          <w:lang w:eastAsia="en-GB"/>
        </w:rPr>
        <w:t xml:space="preserve"> </w:t>
      </w:r>
      <w:proofErr w:type="spellStart"/>
      <w:r w:rsidRPr="00272AE4">
        <w:rPr>
          <w:rFonts w:cs="Arial"/>
          <w:i/>
          <w:iCs/>
          <w:sz w:val="24"/>
          <w:szCs w:val="24"/>
          <w:lang w:eastAsia="en-GB"/>
        </w:rPr>
        <w:t>professionnelles</w:t>
      </w:r>
      <w:proofErr w:type="spellEnd"/>
      <w:r w:rsidRPr="00272AE4">
        <w:rPr>
          <w:rFonts w:cs="Arial"/>
          <w:i/>
          <w:iCs/>
          <w:sz w:val="24"/>
          <w:szCs w:val="24"/>
          <w:lang w:eastAsia="en-GB"/>
        </w:rPr>
        <w:t xml:space="preserve">'. </w:t>
      </w:r>
      <w:r w:rsidRPr="00272AE4">
        <w:rPr>
          <w:rFonts w:cs="Arial"/>
          <w:sz w:val="24"/>
          <w:szCs w:val="24"/>
          <w:lang w:eastAsia="en-GB"/>
        </w:rPr>
        <w:t>Paris: France.</w:t>
      </w:r>
    </w:p>
    <w:sectPr w:rsidR="00733842" w:rsidSect="009131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F43"/>
    <w:rsid w:val="00033559"/>
    <w:rsid w:val="000830F4"/>
    <w:rsid w:val="000C1A0F"/>
    <w:rsid w:val="001B11D5"/>
    <w:rsid w:val="00272AE4"/>
    <w:rsid w:val="002F44C5"/>
    <w:rsid w:val="0040389F"/>
    <w:rsid w:val="004217D7"/>
    <w:rsid w:val="00733842"/>
    <w:rsid w:val="00770F43"/>
    <w:rsid w:val="00913142"/>
    <w:rsid w:val="00972A7F"/>
    <w:rsid w:val="00B67F1E"/>
    <w:rsid w:val="00B8244B"/>
    <w:rsid w:val="00DA6046"/>
    <w:rsid w:val="00F56F12"/>
    <w:rsid w:val="00FA73F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42"/>
  </w:style>
  <w:style w:type="paragraph" w:styleId="Heading1">
    <w:name w:val="heading 1"/>
    <w:basedOn w:val="Normal"/>
    <w:next w:val="Normal"/>
    <w:link w:val="Heading1Char"/>
    <w:uiPriority w:val="9"/>
    <w:qFormat/>
    <w:rsid w:val="00272AE4"/>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2AE4"/>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272AE4"/>
    <w:rPr>
      <w:color w:val="0000FF"/>
      <w:u w:val="single"/>
    </w:rPr>
  </w:style>
</w:styles>
</file>

<file path=word/webSettings.xml><?xml version="1.0" encoding="utf-8"?>
<w:webSettings xmlns:r="http://schemas.openxmlformats.org/officeDocument/2006/relationships" xmlns:w="http://schemas.openxmlformats.org/wordprocessingml/2006/main">
  <w:divs>
    <w:div w:id="13514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olicies/helping-troubled-families-turn-their-lives-a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SavageS</dc:creator>
  <cp:lastModifiedBy>SavageS</cp:lastModifiedBy>
  <cp:revision>2</cp:revision>
  <dcterms:created xsi:type="dcterms:W3CDTF">2014-03-13T11:23:00Z</dcterms:created>
  <dcterms:modified xsi:type="dcterms:W3CDTF">2014-03-13T11:23:00Z</dcterms:modified>
</cp:coreProperties>
</file>