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4" w:space="0" w:color="auto"/>
          <w:bottom w:val="single" w:sz="4" w:space="0" w:color="auto"/>
          <w:insideH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834"/>
        <w:gridCol w:w="1196"/>
        <w:gridCol w:w="4491"/>
        <w:gridCol w:w="567"/>
        <w:gridCol w:w="2551"/>
      </w:tblGrid>
      <w:tr w:rsidR="0082020C" w:rsidRPr="008028C4" w14:paraId="542AF315" w14:textId="77777777" w:rsidTr="002070F4">
        <w:tc>
          <w:tcPr>
            <w:tcW w:w="2030" w:type="dxa"/>
            <w:gridSpan w:val="2"/>
            <w:shd w:val="clear" w:color="auto" w:fill="auto"/>
          </w:tcPr>
          <w:p w14:paraId="1FFDEF5D" w14:textId="77777777" w:rsidR="0082020C" w:rsidRPr="008028C4" w:rsidRDefault="0082020C" w:rsidP="00D65B56">
            <w:pPr>
              <w:pStyle w:val="Headerdetails"/>
              <w:rPr>
                <w:rFonts w:cs="Arial"/>
                <w:b/>
                <w:sz w:val="20"/>
                <w:szCs w:val="20"/>
              </w:rPr>
            </w:pPr>
            <w:r w:rsidRPr="008028C4">
              <w:rPr>
                <w:rFonts w:cs="Arial"/>
                <w:b/>
                <w:sz w:val="20"/>
                <w:szCs w:val="20"/>
              </w:rPr>
              <w:t>Meeting title:</w:t>
            </w:r>
          </w:p>
        </w:tc>
        <w:tc>
          <w:tcPr>
            <w:tcW w:w="7609" w:type="dxa"/>
            <w:gridSpan w:val="3"/>
            <w:shd w:val="clear" w:color="auto" w:fill="auto"/>
          </w:tcPr>
          <w:p w14:paraId="6BD48CD0" w14:textId="77777777" w:rsidR="0082020C" w:rsidRPr="008028C4" w:rsidRDefault="00E77237" w:rsidP="00D65B56">
            <w:pPr>
              <w:pStyle w:val="Headerdetails"/>
              <w:rPr>
                <w:rFonts w:cs="Arial"/>
                <w:bCs/>
                <w:sz w:val="20"/>
                <w:szCs w:val="20"/>
              </w:rPr>
            </w:pPr>
            <w:r w:rsidRPr="008028C4">
              <w:rPr>
                <w:rFonts w:cs="Arial"/>
                <w:bCs/>
                <w:sz w:val="20"/>
                <w:szCs w:val="20"/>
              </w:rPr>
              <w:t>Council</w:t>
            </w:r>
          </w:p>
        </w:tc>
      </w:tr>
      <w:tr w:rsidR="0082020C" w:rsidRPr="008028C4" w14:paraId="6681AA85" w14:textId="77777777" w:rsidTr="002070F4">
        <w:tc>
          <w:tcPr>
            <w:tcW w:w="2030" w:type="dxa"/>
            <w:gridSpan w:val="2"/>
            <w:shd w:val="clear" w:color="auto" w:fill="auto"/>
          </w:tcPr>
          <w:p w14:paraId="0EBC5FA6" w14:textId="77777777" w:rsidR="0082020C" w:rsidRPr="008028C4" w:rsidRDefault="0082020C" w:rsidP="00D65B56">
            <w:pPr>
              <w:pStyle w:val="Headerdetails"/>
              <w:rPr>
                <w:rFonts w:cs="Arial"/>
                <w:b/>
                <w:sz w:val="20"/>
                <w:szCs w:val="20"/>
              </w:rPr>
            </w:pPr>
            <w:r w:rsidRPr="008028C4">
              <w:rPr>
                <w:rFonts w:cs="Arial"/>
                <w:b/>
                <w:sz w:val="20"/>
                <w:szCs w:val="20"/>
              </w:rPr>
              <w:t>Date:</w:t>
            </w:r>
          </w:p>
        </w:tc>
        <w:tc>
          <w:tcPr>
            <w:tcW w:w="4491" w:type="dxa"/>
            <w:shd w:val="clear" w:color="auto" w:fill="auto"/>
          </w:tcPr>
          <w:p w14:paraId="6BAE0FCF" w14:textId="77777777" w:rsidR="00C0713C" w:rsidRPr="008028C4" w:rsidRDefault="008F4174" w:rsidP="00F36962">
            <w:pPr>
              <w:pStyle w:val="Headerdetails"/>
              <w:rPr>
                <w:rFonts w:cs="Arial"/>
                <w:sz w:val="20"/>
                <w:szCs w:val="20"/>
              </w:rPr>
            </w:pPr>
            <w:r>
              <w:rPr>
                <w:rFonts w:cs="Arial"/>
                <w:sz w:val="20"/>
                <w:szCs w:val="20"/>
              </w:rPr>
              <w:t>Wednesday 8</w:t>
            </w:r>
            <w:r w:rsidRPr="008F4174">
              <w:rPr>
                <w:rFonts w:cs="Arial"/>
                <w:sz w:val="20"/>
                <w:szCs w:val="20"/>
                <w:vertAlign w:val="superscript"/>
              </w:rPr>
              <w:t>th</w:t>
            </w:r>
            <w:r>
              <w:rPr>
                <w:rFonts w:cs="Arial"/>
                <w:sz w:val="20"/>
                <w:szCs w:val="20"/>
              </w:rPr>
              <w:t xml:space="preserve"> July</w:t>
            </w:r>
            <w:r w:rsidR="00C56F10">
              <w:rPr>
                <w:rFonts w:cs="Arial"/>
                <w:sz w:val="20"/>
                <w:szCs w:val="20"/>
              </w:rPr>
              <w:t xml:space="preserve"> 2020</w:t>
            </w:r>
          </w:p>
        </w:tc>
        <w:tc>
          <w:tcPr>
            <w:tcW w:w="567" w:type="dxa"/>
            <w:shd w:val="clear" w:color="auto" w:fill="auto"/>
          </w:tcPr>
          <w:p w14:paraId="0FA1745C" w14:textId="77777777" w:rsidR="0082020C" w:rsidRPr="008028C4" w:rsidRDefault="005E5E4D" w:rsidP="00D65B56">
            <w:pPr>
              <w:pStyle w:val="Headerdetails"/>
              <w:rPr>
                <w:rFonts w:cs="Arial"/>
                <w:b/>
                <w:sz w:val="20"/>
                <w:szCs w:val="20"/>
              </w:rPr>
            </w:pPr>
            <w:r w:rsidRPr="008028C4">
              <w:rPr>
                <w:rFonts w:cs="Arial"/>
                <w:b/>
                <w:sz w:val="20"/>
                <w:szCs w:val="20"/>
              </w:rPr>
              <w:t>Time</w:t>
            </w:r>
          </w:p>
        </w:tc>
        <w:tc>
          <w:tcPr>
            <w:tcW w:w="2551" w:type="dxa"/>
            <w:shd w:val="clear" w:color="auto" w:fill="auto"/>
          </w:tcPr>
          <w:p w14:paraId="3FF9A026" w14:textId="77777777" w:rsidR="0082020C" w:rsidRPr="008028C4" w:rsidRDefault="006348CA" w:rsidP="007371B7">
            <w:pPr>
              <w:pStyle w:val="Headerdetails"/>
              <w:rPr>
                <w:rFonts w:cs="Arial"/>
                <w:sz w:val="20"/>
                <w:szCs w:val="20"/>
              </w:rPr>
            </w:pPr>
            <w:r w:rsidRPr="008028C4">
              <w:rPr>
                <w:rFonts w:cs="Arial"/>
                <w:sz w:val="20"/>
                <w:szCs w:val="20"/>
              </w:rPr>
              <w:t xml:space="preserve"> </w:t>
            </w:r>
            <w:r w:rsidR="00817A06">
              <w:rPr>
                <w:rFonts w:cs="Arial"/>
                <w:sz w:val="20"/>
                <w:szCs w:val="20"/>
              </w:rPr>
              <w:t>12.30</w:t>
            </w:r>
            <w:r w:rsidR="00663494">
              <w:rPr>
                <w:rFonts w:cs="Arial"/>
                <w:sz w:val="20"/>
                <w:szCs w:val="20"/>
              </w:rPr>
              <w:t>pm</w:t>
            </w:r>
          </w:p>
        </w:tc>
      </w:tr>
      <w:tr w:rsidR="0082020C" w:rsidRPr="008028C4" w14:paraId="2854CAC8" w14:textId="77777777" w:rsidTr="002070F4">
        <w:tc>
          <w:tcPr>
            <w:tcW w:w="2030" w:type="dxa"/>
            <w:gridSpan w:val="2"/>
            <w:shd w:val="clear" w:color="auto" w:fill="auto"/>
          </w:tcPr>
          <w:p w14:paraId="17778C8E" w14:textId="77777777" w:rsidR="0082020C" w:rsidRPr="008028C4" w:rsidRDefault="0082020C" w:rsidP="00D65B56">
            <w:pPr>
              <w:pStyle w:val="Headerdetails"/>
              <w:rPr>
                <w:rFonts w:cs="Arial"/>
                <w:b/>
                <w:sz w:val="20"/>
                <w:szCs w:val="20"/>
              </w:rPr>
            </w:pPr>
            <w:r w:rsidRPr="008028C4">
              <w:rPr>
                <w:rFonts w:cs="Arial"/>
                <w:b/>
                <w:sz w:val="20"/>
                <w:szCs w:val="20"/>
              </w:rPr>
              <w:t>Location:</w:t>
            </w:r>
          </w:p>
        </w:tc>
        <w:tc>
          <w:tcPr>
            <w:tcW w:w="7609" w:type="dxa"/>
            <w:gridSpan w:val="3"/>
            <w:shd w:val="clear" w:color="auto" w:fill="auto"/>
          </w:tcPr>
          <w:p w14:paraId="6057EE10" w14:textId="77777777" w:rsidR="0082020C" w:rsidRPr="008028C4" w:rsidRDefault="006F0793" w:rsidP="007F69FB">
            <w:pPr>
              <w:pStyle w:val="Headerdetails"/>
              <w:rPr>
                <w:rFonts w:cs="Arial"/>
                <w:sz w:val="20"/>
                <w:szCs w:val="20"/>
              </w:rPr>
            </w:pPr>
            <w:r>
              <w:rPr>
                <w:rFonts w:cs="Arial"/>
                <w:sz w:val="20"/>
                <w:szCs w:val="20"/>
              </w:rPr>
              <w:t>Via Microsoft Teams</w:t>
            </w:r>
          </w:p>
        </w:tc>
      </w:tr>
      <w:tr w:rsidR="0082020C" w:rsidRPr="008028C4" w14:paraId="20200B19" w14:textId="77777777" w:rsidTr="002070F4">
        <w:tc>
          <w:tcPr>
            <w:tcW w:w="2030" w:type="dxa"/>
            <w:gridSpan w:val="2"/>
            <w:shd w:val="clear" w:color="auto" w:fill="auto"/>
          </w:tcPr>
          <w:p w14:paraId="57F434DE" w14:textId="77777777" w:rsidR="0082020C" w:rsidRPr="008028C4" w:rsidRDefault="006348CA" w:rsidP="00D65B56">
            <w:pPr>
              <w:pStyle w:val="Headerdetails"/>
              <w:rPr>
                <w:rFonts w:cs="Arial"/>
                <w:b/>
                <w:sz w:val="20"/>
                <w:szCs w:val="20"/>
              </w:rPr>
            </w:pPr>
            <w:r w:rsidRPr="008028C4">
              <w:rPr>
                <w:rFonts w:cs="Arial"/>
                <w:b/>
                <w:sz w:val="20"/>
                <w:szCs w:val="20"/>
              </w:rPr>
              <w:t>Present</w:t>
            </w:r>
            <w:r w:rsidR="0082020C" w:rsidRPr="008028C4">
              <w:rPr>
                <w:rFonts w:cs="Arial"/>
                <w:b/>
                <w:sz w:val="20"/>
                <w:szCs w:val="20"/>
              </w:rPr>
              <w:t>:</w:t>
            </w:r>
          </w:p>
        </w:tc>
        <w:tc>
          <w:tcPr>
            <w:tcW w:w="7609" w:type="dxa"/>
            <w:gridSpan w:val="3"/>
            <w:shd w:val="clear" w:color="auto" w:fill="auto"/>
          </w:tcPr>
          <w:p w14:paraId="4E9D1D29" w14:textId="77777777" w:rsidR="007F69FB" w:rsidRDefault="0058119F" w:rsidP="005F2925">
            <w:pPr>
              <w:rPr>
                <w:rFonts w:cs="Arial"/>
                <w:sz w:val="20"/>
                <w:szCs w:val="20"/>
              </w:rPr>
            </w:pPr>
            <w:r>
              <w:rPr>
                <w:rFonts w:cs="Arial"/>
                <w:sz w:val="20"/>
                <w:szCs w:val="20"/>
              </w:rPr>
              <w:t>Mr P Greenish</w:t>
            </w:r>
            <w:r w:rsidR="00301C60">
              <w:rPr>
                <w:rFonts w:cs="Arial"/>
                <w:sz w:val="20"/>
                <w:szCs w:val="20"/>
              </w:rPr>
              <w:t xml:space="preserve"> (Chair), </w:t>
            </w:r>
            <w:r w:rsidR="006F0793">
              <w:rPr>
                <w:rFonts w:cs="Arial"/>
                <w:sz w:val="20"/>
                <w:szCs w:val="20"/>
              </w:rPr>
              <w:t xml:space="preserve">Prof. Dame M Atkins, </w:t>
            </w:r>
            <w:r w:rsidR="00F66FE5">
              <w:rPr>
                <w:rFonts w:cs="Arial"/>
                <w:sz w:val="20"/>
                <w:szCs w:val="20"/>
              </w:rPr>
              <w:t xml:space="preserve">Ms F Barnes, </w:t>
            </w:r>
            <w:r w:rsidR="008F4174">
              <w:rPr>
                <w:rFonts w:cs="Arial"/>
                <w:sz w:val="20"/>
                <w:szCs w:val="20"/>
              </w:rPr>
              <w:t>Mr R Cartwright</w:t>
            </w:r>
            <w:r w:rsidR="007F69FB">
              <w:rPr>
                <w:rFonts w:cs="Arial"/>
                <w:sz w:val="20"/>
                <w:szCs w:val="20"/>
              </w:rPr>
              <w:t>,</w:t>
            </w:r>
            <w:r w:rsidR="006D604E">
              <w:rPr>
                <w:rFonts w:cs="Arial"/>
                <w:sz w:val="20"/>
                <w:szCs w:val="20"/>
              </w:rPr>
              <w:t xml:space="preserve"> </w:t>
            </w:r>
            <w:r w:rsidR="006F0793">
              <w:rPr>
                <w:rFonts w:cs="Arial"/>
                <w:sz w:val="20"/>
                <w:szCs w:val="20"/>
              </w:rPr>
              <w:t xml:space="preserve">Mr G Hobbs, Mr P Hollins, </w:t>
            </w:r>
            <w:r>
              <w:rPr>
                <w:rFonts w:cs="Arial"/>
                <w:sz w:val="20"/>
                <w:szCs w:val="20"/>
              </w:rPr>
              <w:t xml:space="preserve">Professor J Holloway, </w:t>
            </w:r>
            <w:r w:rsidR="00A76DED">
              <w:rPr>
                <w:rFonts w:cs="Arial"/>
                <w:sz w:val="20"/>
                <w:szCs w:val="20"/>
              </w:rPr>
              <w:t>Dame J Macgregor</w:t>
            </w:r>
            <w:r>
              <w:rPr>
                <w:rFonts w:cs="Arial"/>
                <w:sz w:val="20"/>
                <w:szCs w:val="20"/>
              </w:rPr>
              <w:t xml:space="preserve"> (Vice</w:t>
            </w:r>
            <w:r w:rsidR="002C1867">
              <w:rPr>
                <w:rFonts w:cs="Arial"/>
                <w:sz w:val="20"/>
                <w:szCs w:val="20"/>
              </w:rPr>
              <w:t>-</w:t>
            </w:r>
            <w:r>
              <w:rPr>
                <w:rFonts w:cs="Arial"/>
                <w:sz w:val="20"/>
                <w:szCs w:val="20"/>
              </w:rPr>
              <w:t>Chair)</w:t>
            </w:r>
            <w:r w:rsidR="006D604E">
              <w:rPr>
                <w:rFonts w:cs="Arial"/>
                <w:sz w:val="20"/>
                <w:szCs w:val="20"/>
              </w:rPr>
              <w:t xml:space="preserve">, </w:t>
            </w:r>
            <w:r w:rsidR="00C56F10">
              <w:rPr>
                <w:rFonts w:cs="Arial"/>
                <w:sz w:val="20"/>
                <w:szCs w:val="20"/>
              </w:rPr>
              <w:t xml:space="preserve">Professor R Mills, </w:t>
            </w:r>
            <w:r w:rsidR="006F0793">
              <w:rPr>
                <w:rFonts w:cs="Arial"/>
                <w:sz w:val="20"/>
                <w:szCs w:val="20"/>
              </w:rPr>
              <w:t xml:space="preserve">Ms H Pawlby, </w:t>
            </w:r>
            <w:r w:rsidR="00C56F10">
              <w:rPr>
                <w:rFonts w:cs="Arial"/>
                <w:sz w:val="20"/>
                <w:szCs w:val="20"/>
              </w:rPr>
              <w:t>President</w:t>
            </w:r>
            <w:r w:rsidR="007F69FB">
              <w:rPr>
                <w:rFonts w:cs="Arial"/>
                <w:sz w:val="20"/>
                <w:szCs w:val="20"/>
              </w:rPr>
              <w:t xml:space="preserve"> &amp; Vice-Chancellor, </w:t>
            </w:r>
            <w:r w:rsidR="006F0793">
              <w:rPr>
                <w:rFonts w:cs="Arial"/>
                <w:sz w:val="20"/>
                <w:szCs w:val="20"/>
              </w:rPr>
              <w:t xml:space="preserve">Dr D Price, </w:t>
            </w:r>
            <w:r w:rsidR="00A76DED">
              <w:rPr>
                <w:rFonts w:cs="Arial"/>
                <w:sz w:val="20"/>
                <w:szCs w:val="20"/>
              </w:rPr>
              <w:t>Professor P Reed</w:t>
            </w:r>
            <w:r w:rsidR="006F0793">
              <w:rPr>
                <w:rFonts w:cs="Arial"/>
                <w:sz w:val="20"/>
                <w:szCs w:val="20"/>
              </w:rPr>
              <w:t xml:space="preserve">, Mr A Reyes-Hughes, Mr W Shannon, </w:t>
            </w:r>
            <w:r w:rsidR="008F4174">
              <w:rPr>
                <w:rFonts w:cs="Arial"/>
                <w:sz w:val="20"/>
                <w:szCs w:val="20"/>
              </w:rPr>
              <w:t xml:space="preserve">SUSU President, </w:t>
            </w:r>
            <w:r w:rsidR="006F0793">
              <w:rPr>
                <w:rFonts w:cs="Arial"/>
                <w:sz w:val="20"/>
                <w:szCs w:val="20"/>
              </w:rPr>
              <w:t xml:space="preserve">Vice-President (Research &amp; Enterprise), Dr A Vincent and </w:t>
            </w:r>
            <w:r w:rsidR="007F69FB">
              <w:rPr>
                <w:rFonts w:cs="Arial"/>
                <w:sz w:val="20"/>
                <w:szCs w:val="20"/>
              </w:rPr>
              <w:t>Mr S Young</w:t>
            </w:r>
            <w:r w:rsidR="006F0793">
              <w:rPr>
                <w:rFonts w:cs="Arial"/>
                <w:sz w:val="20"/>
                <w:szCs w:val="20"/>
              </w:rPr>
              <w:t>.</w:t>
            </w:r>
          </w:p>
          <w:p w14:paraId="7C74990A" w14:textId="77777777" w:rsidR="007371B7" w:rsidRPr="008028C4" w:rsidRDefault="007371B7" w:rsidP="00F66FE5">
            <w:pPr>
              <w:rPr>
                <w:sz w:val="20"/>
                <w:szCs w:val="20"/>
              </w:rPr>
            </w:pPr>
          </w:p>
        </w:tc>
      </w:tr>
      <w:tr w:rsidR="006348CA" w:rsidRPr="008028C4" w14:paraId="7E465DB7" w14:textId="77777777" w:rsidTr="002070F4">
        <w:tc>
          <w:tcPr>
            <w:tcW w:w="2030" w:type="dxa"/>
            <w:gridSpan w:val="2"/>
            <w:shd w:val="clear" w:color="auto" w:fill="auto"/>
          </w:tcPr>
          <w:p w14:paraId="0856784E" w14:textId="77777777" w:rsidR="006348CA" w:rsidRPr="008028C4" w:rsidRDefault="006348CA" w:rsidP="00D65B56">
            <w:pPr>
              <w:pStyle w:val="Headerdetails"/>
              <w:rPr>
                <w:rFonts w:cs="Arial"/>
                <w:b/>
                <w:sz w:val="20"/>
                <w:szCs w:val="20"/>
              </w:rPr>
            </w:pPr>
            <w:r w:rsidRPr="008028C4">
              <w:rPr>
                <w:rFonts w:cs="Arial"/>
                <w:b/>
                <w:sz w:val="20"/>
                <w:szCs w:val="20"/>
              </w:rPr>
              <w:t>In attendance:</w:t>
            </w:r>
          </w:p>
        </w:tc>
        <w:tc>
          <w:tcPr>
            <w:tcW w:w="7609" w:type="dxa"/>
            <w:gridSpan w:val="3"/>
            <w:shd w:val="clear" w:color="auto" w:fill="auto"/>
          </w:tcPr>
          <w:p w14:paraId="785200FB" w14:textId="77777777" w:rsidR="00AA252F" w:rsidRDefault="000D140C" w:rsidP="00C0713C">
            <w:pPr>
              <w:rPr>
                <w:rFonts w:cs="Arial"/>
                <w:sz w:val="20"/>
                <w:szCs w:val="20"/>
              </w:rPr>
            </w:pPr>
            <w:r>
              <w:rPr>
                <w:rFonts w:cs="Arial"/>
                <w:sz w:val="20"/>
                <w:szCs w:val="20"/>
              </w:rPr>
              <w:t xml:space="preserve">Clerk to the </w:t>
            </w:r>
            <w:r w:rsidR="00086500">
              <w:rPr>
                <w:rFonts w:cs="Arial"/>
                <w:sz w:val="20"/>
                <w:szCs w:val="20"/>
              </w:rPr>
              <w:t>University</w:t>
            </w:r>
            <w:r w:rsidR="007F1074">
              <w:rPr>
                <w:rFonts w:cs="Arial"/>
                <w:sz w:val="20"/>
                <w:szCs w:val="20"/>
              </w:rPr>
              <w:t xml:space="preserve"> </w:t>
            </w:r>
            <w:r>
              <w:rPr>
                <w:rFonts w:cs="Arial"/>
                <w:sz w:val="20"/>
                <w:szCs w:val="20"/>
              </w:rPr>
              <w:t>Counc</w:t>
            </w:r>
            <w:r w:rsidR="0088622E">
              <w:rPr>
                <w:rFonts w:cs="Arial"/>
                <w:sz w:val="20"/>
                <w:szCs w:val="20"/>
              </w:rPr>
              <w:t>il</w:t>
            </w:r>
            <w:r w:rsidR="009A092F">
              <w:rPr>
                <w:rFonts w:cs="Arial"/>
                <w:sz w:val="20"/>
                <w:szCs w:val="20"/>
              </w:rPr>
              <w:t xml:space="preserve"> &amp; </w:t>
            </w:r>
            <w:r w:rsidR="00DE1F25">
              <w:rPr>
                <w:rFonts w:cs="Arial"/>
                <w:sz w:val="20"/>
                <w:szCs w:val="20"/>
              </w:rPr>
              <w:t>Senate</w:t>
            </w:r>
            <w:r w:rsidR="00F66FE5">
              <w:rPr>
                <w:rFonts w:cs="Arial"/>
                <w:sz w:val="20"/>
                <w:szCs w:val="20"/>
              </w:rPr>
              <w:t xml:space="preserve">, </w:t>
            </w:r>
            <w:r w:rsidR="00867F61">
              <w:rPr>
                <w:rFonts w:cs="Arial"/>
                <w:sz w:val="20"/>
                <w:szCs w:val="20"/>
              </w:rPr>
              <w:t>Chief Operating Office</w:t>
            </w:r>
            <w:r w:rsidR="00F66FE5">
              <w:rPr>
                <w:rFonts w:cs="Arial"/>
                <w:sz w:val="20"/>
                <w:szCs w:val="20"/>
              </w:rPr>
              <w:t>r</w:t>
            </w:r>
            <w:r w:rsidR="00C56F10">
              <w:rPr>
                <w:rFonts w:cs="Arial"/>
                <w:sz w:val="20"/>
                <w:szCs w:val="20"/>
              </w:rPr>
              <w:t xml:space="preserve">, Executive Director - </w:t>
            </w:r>
            <w:r w:rsidR="009A092F">
              <w:rPr>
                <w:rFonts w:cs="Arial"/>
                <w:sz w:val="20"/>
                <w:szCs w:val="20"/>
              </w:rPr>
              <w:t>Finance &amp; Planning</w:t>
            </w:r>
            <w:r w:rsidR="006F0793">
              <w:rPr>
                <w:rFonts w:cs="Arial"/>
                <w:sz w:val="20"/>
                <w:szCs w:val="20"/>
              </w:rPr>
              <w:t>, Vice-President (Education)</w:t>
            </w:r>
            <w:r w:rsidR="007F69FB">
              <w:rPr>
                <w:rFonts w:cs="Arial"/>
                <w:sz w:val="20"/>
                <w:szCs w:val="20"/>
              </w:rPr>
              <w:t>.</w:t>
            </w:r>
          </w:p>
          <w:p w14:paraId="7CFC834F" w14:textId="77777777" w:rsidR="00FB1E40" w:rsidRPr="008028C4" w:rsidRDefault="00FB1E40" w:rsidP="008F4174">
            <w:pPr>
              <w:spacing w:line="240" w:lineRule="auto"/>
              <w:rPr>
                <w:sz w:val="20"/>
                <w:szCs w:val="20"/>
              </w:rPr>
            </w:pPr>
          </w:p>
        </w:tc>
      </w:tr>
      <w:tr w:rsidR="00622BDA" w:rsidRPr="008028C4" w14:paraId="62B47726"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6C862499" w14:textId="77777777" w:rsidR="00622BDA" w:rsidRPr="008028C4" w:rsidRDefault="00622BDA" w:rsidP="00710CCC">
            <w:pPr>
              <w:rPr>
                <w:rFonts w:cs="Arial"/>
                <w:b/>
                <w:sz w:val="20"/>
                <w:szCs w:val="20"/>
              </w:rPr>
            </w:pPr>
          </w:p>
        </w:tc>
        <w:tc>
          <w:tcPr>
            <w:tcW w:w="8805" w:type="dxa"/>
            <w:gridSpan w:val="4"/>
            <w:tcBorders>
              <w:top w:val="nil"/>
              <w:left w:val="nil"/>
              <w:bottom w:val="nil"/>
              <w:right w:val="nil"/>
            </w:tcBorders>
            <w:shd w:val="clear" w:color="auto" w:fill="auto"/>
          </w:tcPr>
          <w:p w14:paraId="7136E9CE" w14:textId="77777777" w:rsidR="00C87B98" w:rsidRPr="008028C4" w:rsidRDefault="00C87B98" w:rsidP="002C0F01">
            <w:pPr>
              <w:rPr>
                <w:rFonts w:cs="Arial"/>
                <w:bCs/>
                <w:sz w:val="20"/>
                <w:szCs w:val="20"/>
              </w:rPr>
            </w:pPr>
          </w:p>
        </w:tc>
      </w:tr>
      <w:tr w:rsidR="00386359" w:rsidRPr="008028C4" w14:paraId="22633590"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404BDBA0" w14:textId="77777777" w:rsidR="00386359" w:rsidRPr="008028C4" w:rsidRDefault="008F4174" w:rsidP="009464AF">
            <w:pPr>
              <w:rPr>
                <w:rFonts w:cs="Arial"/>
                <w:b/>
                <w:sz w:val="20"/>
                <w:szCs w:val="20"/>
              </w:rPr>
            </w:pPr>
            <w:r>
              <w:rPr>
                <w:rFonts w:cs="Arial"/>
                <w:b/>
                <w:sz w:val="20"/>
                <w:szCs w:val="20"/>
              </w:rPr>
              <w:t>101</w:t>
            </w:r>
          </w:p>
        </w:tc>
        <w:tc>
          <w:tcPr>
            <w:tcW w:w="8805" w:type="dxa"/>
            <w:gridSpan w:val="4"/>
            <w:tcBorders>
              <w:top w:val="nil"/>
              <w:left w:val="nil"/>
              <w:bottom w:val="nil"/>
              <w:right w:val="nil"/>
            </w:tcBorders>
            <w:shd w:val="clear" w:color="auto" w:fill="auto"/>
          </w:tcPr>
          <w:p w14:paraId="39355567" w14:textId="77777777" w:rsidR="00386359" w:rsidRPr="00185F47" w:rsidRDefault="00DF2275" w:rsidP="001525C0">
            <w:pPr>
              <w:rPr>
                <w:rFonts w:cs="Arial"/>
                <w:sz w:val="20"/>
                <w:szCs w:val="20"/>
              </w:rPr>
            </w:pPr>
            <w:r>
              <w:rPr>
                <w:rFonts w:cs="Arial"/>
                <w:b/>
                <w:sz w:val="20"/>
                <w:szCs w:val="20"/>
              </w:rPr>
              <w:t>Apologies</w:t>
            </w:r>
          </w:p>
          <w:p w14:paraId="4E1A26CF" w14:textId="77777777" w:rsidR="00386359" w:rsidRDefault="00386359" w:rsidP="00386359">
            <w:pPr>
              <w:rPr>
                <w:rFonts w:cs="Arial"/>
                <w:sz w:val="20"/>
                <w:szCs w:val="20"/>
              </w:rPr>
            </w:pPr>
          </w:p>
          <w:p w14:paraId="5C4FBD99" w14:textId="77777777" w:rsidR="002070F4" w:rsidRDefault="00FE51BB" w:rsidP="00B8495D">
            <w:pPr>
              <w:rPr>
                <w:rFonts w:cs="Arial"/>
                <w:sz w:val="20"/>
                <w:szCs w:val="20"/>
              </w:rPr>
            </w:pPr>
            <w:r>
              <w:rPr>
                <w:rFonts w:cs="Arial"/>
                <w:sz w:val="20"/>
                <w:szCs w:val="20"/>
              </w:rPr>
              <w:t>The were no apologies.</w:t>
            </w:r>
          </w:p>
          <w:p w14:paraId="7A296DB8" w14:textId="77777777" w:rsidR="00B8495D" w:rsidRPr="002070F4" w:rsidRDefault="00B8495D" w:rsidP="00B8495D">
            <w:pPr>
              <w:rPr>
                <w:rFonts w:cs="Arial"/>
                <w:b/>
                <w:sz w:val="20"/>
                <w:szCs w:val="20"/>
              </w:rPr>
            </w:pPr>
          </w:p>
        </w:tc>
      </w:tr>
      <w:tr w:rsidR="00386359" w:rsidRPr="008028C4" w14:paraId="4B870670"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530AA9C1" w14:textId="77777777" w:rsidR="00386359" w:rsidRPr="008028C4" w:rsidRDefault="008F4174" w:rsidP="009464AF">
            <w:pPr>
              <w:rPr>
                <w:rFonts w:cs="Arial"/>
                <w:b/>
                <w:sz w:val="20"/>
                <w:szCs w:val="20"/>
              </w:rPr>
            </w:pPr>
            <w:r>
              <w:rPr>
                <w:rFonts w:cs="Arial"/>
                <w:b/>
                <w:sz w:val="20"/>
                <w:szCs w:val="20"/>
              </w:rPr>
              <w:t>102</w:t>
            </w:r>
          </w:p>
        </w:tc>
        <w:tc>
          <w:tcPr>
            <w:tcW w:w="8805" w:type="dxa"/>
            <w:gridSpan w:val="4"/>
            <w:tcBorders>
              <w:top w:val="nil"/>
              <w:left w:val="nil"/>
              <w:bottom w:val="nil"/>
              <w:right w:val="nil"/>
            </w:tcBorders>
            <w:shd w:val="clear" w:color="auto" w:fill="auto"/>
          </w:tcPr>
          <w:p w14:paraId="5B1F4626" w14:textId="77777777" w:rsidR="00F10315" w:rsidRDefault="00D65F1E" w:rsidP="008E7164">
            <w:pPr>
              <w:pStyle w:val="Body1"/>
              <w:tabs>
                <w:tab w:val="left" w:pos="2775"/>
              </w:tabs>
              <w:rPr>
                <w:rFonts w:ascii="Lucida Sans" w:hAnsi="Lucida Sans"/>
                <w:b/>
                <w:sz w:val="20"/>
              </w:rPr>
            </w:pPr>
            <w:r>
              <w:rPr>
                <w:rFonts w:ascii="Lucida Sans" w:hAnsi="Lucida Sans"/>
                <w:b/>
                <w:sz w:val="20"/>
              </w:rPr>
              <w:t>Minutes</w:t>
            </w:r>
          </w:p>
          <w:p w14:paraId="59D3155E" w14:textId="77777777" w:rsidR="008F4174" w:rsidRDefault="00D65F1E" w:rsidP="00D65F1E">
            <w:pPr>
              <w:rPr>
                <w:rFonts w:cs="Arial"/>
                <w:bCs/>
                <w:sz w:val="20"/>
                <w:szCs w:val="20"/>
              </w:rPr>
            </w:pPr>
            <w:r w:rsidRPr="007F6E24">
              <w:rPr>
                <w:rFonts w:cs="Arial"/>
                <w:b/>
                <w:sz w:val="20"/>
                <w:szCs w:val="20"/>
              </w:rPr>
              <w:t>RESOLVED</w:t>
            </w:r>
            <w:r w:rsidR="008F4174">
              <w:rPr>
                <w:rFonts w:cs="Arial"/>
                <w:bCs/>
                <w:sz w:val="20"/>
                <w:szCs w:val="20"/>
              </w:rPr>
              <w:t xml:space="preserve"> that</w:t>
            </w:r>
          </w:p>
          <w:p w14:paraId="11E790C4" w14:textId="77777777" w:rsidR="008F4174" w:rsidRDefault="008F4174" w:rsidP="00D65F1E">
            <w:pPr>
              <w:rPr>
                <w:rFonts w:cs="Arial"/>
                <w:bCs/>
                <w:sz w:val="20"/>
                <w:szCs w:val="20"/>
              </w:rPr>
            </w:pPr>
          </w:p>
          <w:p w14:paraId="7BA96BF7" w14:textId="77777777" w:rsidR="00D65F1E" w:rsidRDefault="008F4174" w:rsidP="00D65F1E">
            <w:pPr>
              <w:rPr>
                <w:rFonts w:cs="Arial"/>
                <w:bCs/>
                <w:sz w:val="20"/>
                <w:szCs w:val="20"/>
              </w:rPr>
            </w:pPr>
            <w:r>
              <w:rPr>
                <w:rFonts w:cs="Arial"/>
                <w:bCs/>
                <w:sz w:val="20"/>
                <w:szCs w:val="20"/>
              </w:rPr>
              <w:t xml:space="preserve">(i) the </w:t>
            </w:r>
            <w:r w:rsidR="00D65F1E">
              <w:rPr>
                <w:rFonts w:cs="Arial"/>
                <w:bCs/>
                <w:sz w:val="20"/>
                <w:szCs w:val="20"/>
              </w:rPr>
              <w:t>minutes</w:t>
            </w:r>
            <w:r w:rsidR="00C80CAB">
              <w:rPr>
                <w:rFonts w:cs="Arial"/>
                <w:bCs/>
                <w:sz w:val="20"/>
                <w:szCs w:val="20"/>
              </w:rPr>
              <w:t xml:space="preserve"> of t</w:t>
            </w:r>
            <w:r w:rsidR="00073AF7">
              <w:rPr>
                <w:rFonts w:cs="Arial"/>
                <w:bCs/>
                <w:sz w:val="20"/>
                <w:szCs w:val="20"/>
              </w:rPr>
              <w:t xml:space="preserve">he </w:t>
            </w:r>
            <w:r>
              <w:rPr>
                <w:rFonts w:cs="Arial"/>
                <w:bCs/>
                <w:sz w:val="20"/>
                <w:szCs w:val="20"/>
              </w:rPr>
              <w:t>meeting held on 13</w:t>
            </w:r>
            <w:r w:rsidRPr="008F4174">
              <w:rPr>
                <w:rFonts w:cs="Arial"/>
                <w:bCs/>
                <w:sz w:val="20"/>
                <w:szCs w:val="20"/>
                <w:vertAlign w:val="superscript"/>
              </w:rPr>
              <w:t>th</w:t>
            </w:r>
            <w:r>
              <w:rPr>
                <w:rFonts w:cs="Arial"/>
                <w:bCs/>
                <w:sz w:val="20"/>
                <w:szCs w:val="20"/>
              </w:rPr>
              <w:t xml:space="preserve"> May</w:t>
            </w:r>
            <w:r w:rsidR="000A52B0">
              <w:rPr>
                <w:rFonts w:cs="Arial"/>
                <w:bCs/>
                <w:sz w:val="20"/>
                <w:szCs w:val="20"/>
              </w:rPr>
              <w:t xml:space="preserve"> 2020</w:t>
            </w:r>
            <w:r w:rsidR="005225BA">
              <w:rPr>
                <w:rFonts w:cs="Arial"/>
                <w:bCs/>
                <w:sz w:val="20"/>
                <w:szCs w:val="20"/>
              </w:rPr>
              <w:t xml:space="preserve"> </w:t>
            </w:r>
            <w:r w:rsidR="00D65F1E">
              <w:rPr>
                <w:rFonts w:cs="Arial"/>
                <w:bCs/>
                <w:sz w:val="20"/>
                <w:szCs w:val="20"/>
              </w:rPr>
              <w:t xml:space="preserve">be confirmed as </w:t>
            </w:r>
            <w:r w:rsidR="00A76DED">
              <w:rPr>
                <w:rFonts w:cs="Arial"/>
                <w:bCs/>
                <w:sz w:val="20"/>
                <w:szCs w:val="20"/>
              </w:rPr>
              <w:t xml:space="preserve">a </w:t>
            </w:r>
            <w:r w:rsidR="005225BA">
              <w:rPr>
                <w:rFonts w:cs="Arial"/>
                <w:bCs/>
                <w:sz w:val="20"/>
                <w:szCs w:val="20"/>
              </w:rPr>
              <w:t>correct record</w:t>
            </w:r>
            <w:r>
              <w:rPr>
                <w:rFonts w:cs="Arial"/>
                <w:bCs/>
                <w:sz w:val="20"/>
                <w:szCs w:val="20"/>
              </w:rPr>
              <w:t xml:space="preserve"> and signed; and</w:t>
            </w:r>
          </w:p>
          <w:p w14:paraId="2D9FEED9" w14:textId="77777777" w:rsidR="008F4174" w:rsidRDefault="008F4174" w:rsidP="00D65F1E">
            <w:pPr>
              <w:rPr>
                <w:rFonts w:cs="Arial"/>
                <w:bCs/>
                <w:sz w:val="20"/>
                <w:szCs w:val="20"/>
              </w:rPr>
            </w:pPr>
          </w:p>
          <w:p w14:paraId="6B9AC815" w14:textId="77777777" w:rsidR="008F4174" w:rsidRDefault="008F4174" w:rsidP="008F4174">
            <w:pPr>
              <w:rPr>
                <w:rFonts w:cs="Arial"/>
                <w:bCs/>
                <w:sz w:val="20"/>
                <w:szCs w:val="20"/>
              </w:rPr>
            </w:pPr>
            <w:r>
              <w:rPr>
                <w:rFonts w:cs="Arial"/>
                <w:bCs/>
                <w:sz w:val="20"/>
                <w:szCs w:val="20"/>
              </w:rPr>
              <w:t>(ii) the notes of the informal Council meetings held on Tuesday 26</w:t>
            </w:r>
            <w:r w:rsidRPr="008F4174">
              <w:rPr>
                <w:rFonts w:cs="Arial"/>
                <w:bCs/>
                <w:sz w:val="20"/>
                <w:szCs w:val="20"/>
                <w:vertAlign w:val="superscript"/>
              </w:rPr>
              <w:t>th</w:t>
            </w:r>
            <w:r>
              <w:rPr>
                <w:rFonts w:cs="Arial"/>
                <w:bCs/>
                <w:sz w:val="20"/>
                <w:szCs w:val="20"/>
              </w:rPr>
              <w:t xml:space="preserve"> May 2020 and Wednesday 17</w:t>
            </w:r>
            <w:r w:rsidRPr="008F4174">
              <w:rPr>
                <w:rFonts w:cs="Arial"/>
                <w:bCs/>
                <w:sz w:val="20"/>
                <w:szCs w:val="20"/>
                <w:vertAlign w:val="superscript"/>
              </w:rPr>
              <w:t>th</w:t>
            </w:r>
            <w:r w:rsidRPr="008F4174">
              <w:rPr>
                <w:rFonts w:cs="Arial"/>
                <w:bCs/>
                <w:sz w:val="20"/>
                <w:szCs w:val="20"/>
              </w:rPr>
              <w:t xml:space="preserve"> June 2020</w:t>
            </w:r>
            <w:r>
              <w:rPr>
                <w:rFonts w:cs="Arial"/>
                <w:bCs/>
                <w:sz w:val="20"/>
                <w:szCs w:val="20"/>
              </w:rPr>
              <w:t xml:space="preserve"> be noted.</w:t>
            </w:r>
          </w:p>
          <w:p w14:paraId="2BFAB1E2" w14:textId="77777777" w:rsidR="001D0E9B" w:rsidRPr="00D65F1E" w:rsidRDefault="001D0E9B" w:rsidP="00D65F1E">
            <w:pPr>
              <w:rPr>
                <w:rFonts w:cs="Arial"/>
                <w:bCs/>
                <w:sz w:val="20"/>
                <w:szCs w:val="20"/>
              </w:rPr>
            </w:pPr>
          </w:p>
        </w:tc>
      </w:tr>
      <w:tr w:rsidR="00D65F1E" w:rsidRPr="008028C4" w14:paraId="4CBA7143"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160EE0A4" w14:textId="77777777" w:rsidR="00D65F1E" w:rsidRDefault="008F4174" w:rsidP="009464AF">
            <w:pPr>
              <w:rPr>
                <w:rFonts w:cs="Arial"/>
                <w:b/>
                <w:sz w:val="20"/>
                <w:szCs w:val="20"/>
              </w:rPr>
            </w:pPr>
            <w:r>
              <w:rPr>
                <w:rFonts w:cs="Arial"/>
                <w:b/>
                <w:sz w:val="20"/>
                <w:szCs w:val="20"/>
              </w:rPr>
              <w:t>103</w:t>
            </w:r>
          </w:p>
        </w:tc>
        <w:tc>
          <w:tcPr>
            <w:tcW w:w="8805" w:type="dxa"/>
            <w:gridSpan w:val="4"/>
            <w:tcBorders>
              <w:top w:val="nil"/>
              <w:left w:val="nil"/>
              <w:bottom w:val="nil"/>
              <w:right w:val="nil"/>
            </w:tcBorders>
            <w:shd w:val="clear" w:color="auto" w:fill="auto"/>
          </w:tcPr>
          <w:p w14:paraId="53CCA0E9" w14:textId="77777777" w:rsidR="00D65F1E" w:rsidRDefault="00D65F1E" w:rsidP="00F57CB8">
            <w:pPr>
              <w:pStyle w:val="Body1"/>
              <w:tabs>
                <w:tab w:val="left" w:pos="2775"/>
              </w:tabs>
              <w:rPr>
                <w:rFonts w:ascii="Lucida Sans" w:hAnsi="Lucida Sans"/>
                <w:b/>
                <w:sz w:val="20"/>
              </w:rPr>
            </w:pPr>
            <w:r>
              <w:rPr>
                <w:rFonts w:ascii="Lucida Sans" w:hAnsi="Lucida Sans"/>
                <w:b/>
                <w:sz w:val="20"/>
              </w:rPr>
              <w:t>Actions and Matters Arising</w:t>
            </w:r>
          </w:p>
          <w:p w14:paraId="6C45E05C" w14:textId="77777777" w:rsidR="008E7164" w:rsidRDefault="00D65F1E" w:rsidP="00930442">
            <w:pPr>
              <w:pStyle w:val="Body1"/>
              <w:tabs>
                <w:tab w:val="left" w:pos="2775"/>
              </w:tabs>
              <w:rPr>
                <w:rFonts w:ascii="Lucida Sans" w:hAnsi="Lucida Sans"/>
                <w:bCs/>
                <w:sz w:val="20"/>
              </w:rPr>
            </w:pPr>
            <w:r>
              <w:rPr>
                <w:rFonts w:ascii="Lucida Sans" w:hAnsi="Lucida Sans"/>
                <w:bCs/>
                <w:sz w:val="20"/>
              </w:rPr>
              <w:t>Council noted the Annual Calendar of Business</w:t>
            </w:r>
            <w:r w:rsidR="001D0E9B">
              <w:rPr>
                <w:rFonts w:ascii="Lucida Sans" w:hAnsi="Lucida Sans"/>
                <w:bCs/>
                <w:sz w:val="20"/>
              </w:rPr>
              <w:t>.</w:t>
            </w:r>
          </w:p>
          <w:p w14:paraId="4FBD21D5" w14:textId="77777777" w:rsidR="00682AC6" w:rsidRDefault="00090B5B" w:rsidP="00682AC6">
            <w:pPr>
              <w:pStyle w:val="Body1"/>
              <w:tabs>
                <w:tab w:val="left" w:pos="2775"/>
              </w:tabs>
              <w:rPr>
                <w:rFonts w:ascii="Lucida Sans" w:hAnsi="Lucida Sans"/>
                <w:bCs/>
                <w:sz w:val="20"/>
              </w:rPr>
            </w:pPr>
            <w:r>
              <w:rPr>
                <w:rFonts w:ascii="Lucida Sans" w:hAnsi="Lucida Sans"/>
                <w:bCs/>
                <w:sz w:val="20"/>
              </w:rPr>
              <w:t>A</w:t>
            </w:r>
            <w:r w:rsidR="00682AC6">
              <w:rPr>
                <w:rFonts w:ascii="Lucida Sans" w:hAnsi="Lucida Sans"/>
                <w:bCs/>
                <w:sz w:val="20"/>
              </w:rPr>
              <w:t xml:space="preserve"> full update on the outstanding actions </w:t>
            </w:r>
            <w:r>
              <w:rPr>
                <w:rFonts w:ascii="Lucida Sans" w:hAnsi="Lucida Sans"/>
                <w:bCs/>
                <w:sz w:val="20"/>
              </w:rPr>
              <w:t xml:space="preserve">was then noted </w:t>
            </w:r>
            <w:r w:rsidR="00682AC6">
              <w:rPr>
                <w:rFonts w:ascii="Lucida Sans" w:hAnsi="Lucida Sans"/>
                <w:bCs/>
                <w:sz w:val="20"/>
              </w:rPr>
              <w:t>as follows:</w:t>
            </w:r>
          </w:p>
          <w:p w14:paraId="25C7BE53" w14:textId="77777777" w:rsidR="00682AC6" w:rsidRDefault="000A52B0" w:rsidP="00682AC6">
            <w:pPr>
              <w:pStyle w:val="Body1"/>
              <w:tabs>
                <w:tab w:val="left" w:pos="2775"/>
              </w:tabs>
              <w:rPr>
                <w:rFonts w:ascii="Lucida Sans" w:hAnsi="Lucida Sans"/>
                <w:bCs/>
                <w:sz w:val="20"/>
              </w:rPr>
            </w:pPr>
            <w:r>
              <w:rPr>
                <w:rFonts w:ascii="Lucida Sans" w:hAnsi="Lucida Sans"/>
                <w:bCs/>
                <w:sz w:val="20"/>
              </w:rPr>
              <w:t>(</w:t>
            </w:r>
            <w:r w:rsidR="00544519">
              <w:rPr>
                <w:rFonts w:ascii="Lucida Sans" w:hAnsi="Lucida Sans"/>
                <w:bCs/>
                <w:sz w:val="20"/>
              </w:rPr>
              <w:t>i</w:t>
            </w:r>
            <w:r w:rsidR="00682AC6">
              <w:rPr>
                <w:rFonts w:ascii="Lucida Sans" w:hAnsi="Lucida Sans"/>
                <w:bCs/>
                <w:sz w:val="20"/>
              </w:rPr>
              <w:t>) 109/1819 – International Strategy: In abeyance</w:t>
            </w:r>
            <w:r w:rsidR="009946C7">
              <w:rPr>
                <w:rFonts w:ascii="Lucida Sans" w:hAnsi="Lucida Sans"/>
                <w:bCs/>
                <w:sz w:val="20"/>
              </w:rPr>
              <w:t xml:space="preserve"> </w:t>
            </w:r>
          </w:p>
          <w:p w14:paraId="7ADD36BD" w14:textId="77777777" w:rsidR="000A52B0" w:rsidRDefault="008F4174" w:rsidP="00F26653">
            <w:pPr>
              <w:pStyle w:val="Body1"/>
              <w:tabs>
                <w:tab w:val="left" w:pos="2775"/>
              </w:tabs>
              <w:rPr>
                <w:rFonts w:ascii="Lucida Sans" w:hAnsi="Lucida Sans"/>
                <w:bCs/>
                <w:sz w:val="20"/>
              </w:rPr>
            </w:pPr>
            <w:r>
              <w:rPr>
                <w:rFonts w:ascii="Lucida Sans" w:hAnsi="Lucida Sans"/>
                <w:bCs/>
                <w:sz w:val="20"/>
              </w:rPr>
              <w:t>(i</w:t>
            </w:r>
            <w:r w:rsidR="000A52B0">
              <w:rPr>
                <w:rFonts w:ascii="Lucida Sans" w:hAnsi="Lucida Sans"/>
                <w:bCs/>
                <w:sz w:val="20"/>
              </w:rPr>
              <w:t>i</w:t>
            </w:r>
            <w:r w:rsidR="00682AC6">
              <w:rPr>
                <w:rFonts w:ascii="Lucida Sans" w:hAnsi="Lucida Sans"/>
                <w:bCs/>
                <w:sz w:val="20"/>
              </w:rPr>
              <w:t>)</w:t>
            </w:r>
            <w:r w:rsidR="00F26653">
              <w:rPr>
                <w:rFonts w:ascii="Lucida Sans" w:hAnsi="Lucida Sans"/>
                <w:bCs/>
                <w:sz w:val="20"/>
              </w:rPr>
              <w:t xml:space="preserve"> 33/1920 – Annual Academic Assurance - Report back to Council on degree awarding analysis and assignment ghos</w:t>
            </w:r>
            <w:r w:rsidR="00C072A9">
              <w:rPr>
                <w:rFonts w:ascii="Lucida Sans" w:hAnsi="Lucida Sans"/>
                <w:bCs/>
                <w:sz w:val="20"/>
              </w:rPr>
              <w:t>t</w:t>
            </w:r>
            <w:r>
              <w:rPr>
                <w:rFonts w:ascii="Lucida Sans" w:hAnsi="Lucida Sans"/>
                <w:bCs/>
                <w:sz w:val="20"/>
              </w:rPr>
              <w:t xml:space="preserve"> writing - on this agenda.</w:t>
            </w:r>
          </w:p>
          <w:p w14:paraId="1389E088" w14:textId="77777777" w:rsidR="000A52B0" w:rsidRDefault="000A52B0" w:rsidP="00F26653">
            <w:pPr>
              <w:pStyle w:val="Body1"/>
              <w:tabs>
                <w:tab w:val="left" w:pos="2775"/>
              </w:tabs>
              <w:rPr>
                <w:rFonts w:ascii="Lucida Sans" w:hAnsi="Lucida Sans"/>
                <w:bCs/>
                <w:sz w:val="20"/>
              </w:rPr>
            </w:pPr>
            <w:r>
              <w:rPr>
                <w:rFonts w:ascii="Lucida Sans" w:hAnsi="Lucida Sans"/>
                <w:bCs/>
                <w:sz w:val="20"/>
              </w:rPr>
              <w:t>(</w:t>
            </w:r>
            <w:r w:rsidR="00C072A9">
              <w:rPr>
                <w:rFonts w:ascii="Lucida Sans" w:hAnsi="Lucida Sans"/>
                <w:bCs/>
                <w:sz w:val="20"/>
              </w:rPr>
              <w:t>i</w:t>
            </w:r>
            <w:r w:rsidR="008F4174">
              <w:rPr>
                <w:rFonts w:ascii="Lucida Sans" w:hAnsi="Lucida Sans"/>
                <w:bCs/>
                <w:sz w:val="20"/>
              </w:rPr>
              <w:t>ii</w:t>
            </w:r>
            <w:r>
              <w:rPr>
                <w:rFonts w:ascii="Lucida Sans" w:hAnsi="Lucida Sans"/>
                <w:bCs/>
                <w:sz w:val="20"/>
              </w:rPr>
              <w:t>) 58/1920 – Student Recruitme</w:t>
            </w:r>
            <w:r w:rsidR="008F4174">
              <w:rPr>
                <w:rFonts w:ascii="Lucida Sans" w:hAnsi="Lucida Sans"/>
                <w:bCs/>
                <w:sz w:val="20"/>
              </w:rPr>
              <w:t>nt – on this agenda as part of the International update.</w:t>
            </w:r>
          </w:p>
          <w:p w14:paraId="2B777C3A" w14:textId="77777777" w:rsidR="00090B5B" w:rsidRDefault="00090B5B" w:rsidP="00F26653">
            <w:pPr>
              <w:pStyle w:val="Body1"/>
              <w:tabs>
                <w:tab w:val="left" w:pos="2775"/>
              </w:tabs>
              <w:rPr>
                <w:rFonts w:ascii="Lucida Sans" w:hAnsi="Lucida Sans"/>
                <w:bCs/>
                <w:sz w:val="20"/>
              </w:rPr>
            </w:pPr>
            <w:r>
              <w:rPr>
                <w:rFonts w:ascii="Lucida Sans" w:hAnsi="Lucida Sans"/>
                <w:bCs/>
                <w:sz w:val="20"/>
              </w:rPr>
              <w:t xml:space="preserve">(iv) 79/1920 – Awayday Outcomes - </w:t>
            </w:r>
            <w:r w:rsidRPr="00C072A9">
              <w:rPr>
                <w:rFonts w:ascii="Lucida Sans" w:hAnsi="Lucida Sans"/>
                <w:bCs/>
                <w:sz w:val="20"/>
              </w:rPr>
              <w:t>Executive to consider developing a dashboard of key info for Council</w:t>
            </w:r>
            <w:r>
              <w:rPr>
                <w:rFonts w:ascii="Lucida Sans" w:hAnsi="Lucida Sans"/>
                <w:bCs/>
                <w:sz w:val="20"/>
              </w:rPr>
              <w:t xml:space="preserve"> – Ongoing Action</w:t>
            </w:r>
          </w:p>
          <w:p w14:paraId="21E5871A" w14:textId="77777777" w:rsidR="000A52B0" w:rsidRDefault="00C072A9" w:rsidP="00F26653">
            <w:pPr>
              <w:pStyle w:val="Body1"/>
              <w:tabs>
                <w:tab w:val="left" w:pos="2775"/>
              </w:tabs>
              <w:rPr>
                <w:rFonts w:ascii="Lucida Sans" w:hAnsi="Lucida Sans"/>
                <w:bCs/>
                <w:sz w:val="20"/>
              </w:rPr>
            </w:pPr>
            <w:r>
              <w:rPr>
                <w:rFonts w:ascii="Lucida Sans" w:hAnsi="Lucida Sans"/>
                <w:bCs/>
                <w:sz w:val="20"/>
              </w:rPr>
              <w:lastRenderedPageBreak/>
              <w:t>(v</w:t>
            </w:r>
            <w:r w:rsidR="00090B5B">
              <w:rPr>
                <w:rFonts w:ascii="Lucida Sans" w:hAnsi="Lucida Sans"/>
                <w:bCs/>
                <w:sz w:val="20"/>
              </w:rPr>
              <w:t>) 94</w:t>
            </w:r>
            <w:r w:rsidR="000A52B0">
              <w:rPr>
                <w:rFonts w:ascii="Lucida Sans" w:hAnsi="Lucida Sans"/>
                <w:bCs/>
                <w:sz w:val="20"/>
              </w:rPr>
              <w:t>/19</w:t>
            </w:r>
            <w:r w:rsidR="00090B5B">
              <w:rPr>
                <w:rFonts w:ascii="Lucida Sans" w:hAnsi="Lucida Sans"/>
                <w:bCs/>
                <w:sz w:val="20"/>
              </w:rPr>
              <w:t>20 – SUSU Report</w:t>
            </w:r>
            <w:r>
              <w:rPr>
                <w:rFonts w:ascii="Lucida Sans" w:hAnsi="Lucida Sans"/>
                <w:bCs/>
                <w:sz w:val="20"/>
              </w:rPr>
              <w:t xml:space="preserve"> – </w:t>
            </w:r>
            <w:r w:rsidR="00090B5B" w:rsidRPr="00090B5B">
              <w:rPr>
                <w:rFonts w:ascii="Lucida Sans" w:hAnsi="Lucida Sans"/>
                <w:bCs/>
                <w:sz w:val="20"/>
              </w:rPr>
              <w:t>SUSU President meet with those most appropriate, identified by the VC, to discuss tuition fees during COVID</w:t>
            </w:r>
            <w:r w:rsidR="00090B5B">
              <w:rPr>
                <w:rFonts w:ascii="Lucida Sans" w:hAnsi="Lucida Sans"/>
                <w:bCs/>
                <w:sz w:val="20"/>
              </w:rPr>
              <w:t xml:space="preserve"> – a constructive meeting had taken place.</w:t>
            </w:r>
          </w:p>
          <w:p w14:paraId="7D7CB59A" w14:textId="77777777" w:rsidR="00090B5B" w:rsidRDefault="00090B5B" w:rsidP="00F26653">
            <w:pPr>
              <w:pStyle w:val="Body1"/>
              <w:tabs>
                <w:tab w:val="left" w:pos="2775"/>
              </w:tabs>
              <w:rPr>
                <w:rFonts w:ascii="Lucida Sans" w:hAnsi="Lucida Sans"/>
                <w:bCs/>
                <w:sz w:val="20"/>
              </w:rPr>
            </w:pPr>
            <w:r>
              <w:rPr>
                <w:rFonts w:ascii="Lucida Sans" w:hAnsi="Lucida Sans"/>
                <w:bCs/>
                <w:sz w:val="20"/>
              </w:rPr>
              <w:t>(vi) 98/1920 – Response During COVID -</w:t>
            </w:r>
            <w:r>
              <w:t xml:space="preserve"> </w:t>
            </w:r>
            <w:r w:rsidRPr="00090B5B">
              <w:rPr>
                <w:rFonts w:ascii="Lucida Sans" w:hAnsi="Lucida Sans"/>
                <w:bCs/>
                <w:sz w:val="20"/>
              </w:rPr>
              <w:t xml:space="preserve">Council to receive a presentation of the </w:t>
            </w:r>
            <w:proofErr w:type="spellStart"/>
            <w:r w:rsidRPr="00090B5B">
              <w:rPr>
                <w:rFonts w:ascii="Lucida Sans" w:hAnsi="Lucida Sans"/>
                <w:bCs/>
                <w:sz w:val="20"/>
              </w:rPr>
              <w:t>BlackBoard</w:t>
            </w:r>
            <w:proofErr w:type="spellEnd"/>
            <w:r w:rsidRPr="00090B5B">
              <w:rPr>
                <w:rFonts w:ascii="Lucida Sans" w:hAnsi="Lucida Sans"/>
                <w:bCs/>
                <w:sz w:val="20"/>
              </w:rPr>
              <w:t xml:space="preserve"> system</w:t>
            </w:r>
            <w:r>
              <w:rPr>
                <w:rFonts w:ascii="Lucida Sans" w:hAnsi="Lucida Sans"/>
                <w:bCs/>
                <w:sz w:val="20"/>
              </w:rPr>
              <w:t xml:space="preserve"> – Presentation undertaken in June 2020 and well received by Council. </w:t>
            </w:r>
          </w:p>
          <w:p w14:paraId="344FC7E3" w14:textId="77777777" w:rsidR="000A52B0" w:rsidRDefault="00090B5B" w:rsidP="00F26653">
            <w:pPr>
              <w:pStyle w:val="Body1"/>
              <w:tabs>
                <w:tab w:val="left" w:pos="2775"/>
              </w:tabs>
              <w:rPr>
                <w:rFonts w:ascii="Lucida Sans" w:hAnsi="Lucida Sans"/>
                <w:bCs/>
                <w:sz w:val="20"/>
              </w:rPr>
            </w:pPr>
            <w:r>
              <w:rPr>
                <w:rFonts w:ascii="Lucida Sans" w:hAnsi="Lucida Sans"/>
                <w:bCs/>
                <w:sz w:val="20"/>
              </w:rPr>
              <w:t>(vii) 98</w:t>
            </w:r>
            <w:r w:rsidR="000A52B0">
              <w:rPr>
                <w:rFonts w:ascii="Lucida Sans" w:hAnsi="Lucida Sans"/>
                <w:bCs/>
                <w:sz w:val="20"/>
              </w:rPr>
              <w:t>/</w:t>
            </w:r>
            <w:r>
              <w:rPr>
                <w:rFonts w:ascii="Lucida Sans" w:hAnsi="Lucida Sans"/>
                <w:bCs/>
                <w:sz w:val="20"/>
              </w:rPr>
              <w:t>1920 – Response During COVID</w:t>
            </w:r>
            <w:r w:rsidR="000A52B0">
              <w:rPr>
                <w:rFonts w:ascii="Lucida Sans" w:hAnsi="Lucida Sans"/>
                <w:bCs/>
                <w:sz w:val="20"/>
              </w:rPr>
              <w:t xml:space="preserve"> – </w:t>
            </w:r>
            <w:r w:rsidRPr="00090B5B">
              <w:rPr>
                <w:rFonts w:ascii="Lucida Sans" w:hAnsi="Lucida Sans"/>
                <w:bCs/>
                <w:sz w:val="20"/>
              </w:rPr>
              <w:t xml:space="preserve">Any comments from Senate on the </w:t>
            </w:r>
            <w:proofErr w:type="spellStart"/>
            <w:r w:rsidRPr="00090B5B">
              <w:rPr>
                <w:rFonts w:ascii="Lucida Sans" w:hAnsi="Lucida Sans"/>
                <w:bCs/>
                <w:sz w:val="20"/>
              </w:rPr>
              <w:t>OfS</w:t>
            </w:r>
            <w:proofErr w:type="spellEnd"/>
            <w:r w:rsidRPr="00090B5B">
              <w:rPr>
                <w:rFonts w:ascii="Lucida Sans" w:hAnsi="Lucida Sans"/>
                <w:bCs/>
                <w:sz w:val="20"/>
              </w:rPr>
              <w:t xml:space="preserve"> Report passed to Council</w:t>
            </w:r>
            <w:r>
              <w:rPr>
                <w:rFonts w:ascii="Lucida Sans" w:hAnsi="Lucida Sans"/>
                <w:bCs/>
                <w:sz w:val="20"/>
              </w:rPr>
              <w:t xml:space="preserve"> – there were no comments from Senate.</w:t>
            </w:r>
          </w:p>
          <w:p w14:paraId="73B41B84" w14:textId="77777777" w:rsidR="00090B5B" w:rsidRDefault="00090B5B" w:rsidP="00F26653">
            <w:pPr>
              <w:pStyle w:val="Body1"/>
              <w:tabs>
                <w:tab w:val="left" w:pos="2775"/>
              </w:tabs>
              <w:rPr>
                <w:rFonts w:ascii="Lucida Sans" w:hAnsi="Lucida Sans"/>
                <w:bCs/>
                <w:sz w:val="20"/>
              </w:rPr>
            </w:pPr>
            <w:r>
              <w:rPr>
                <w:rFonts w:ascii="Lucida Sans" w:hAnsi="Lucida Sans"/>
                <w:bCs/>
                <w:sz w:val="20"/>
              </w:rPr>
              <w:t>(viii) 98/1920 – Response During COVID – Comms to Students – Comms had continued throughout the last few months and comprehensive information relating to the University direction and next academic year had been well received.</w:t>
            </w:r>
          </w:p>
          <w:p w14:paraId="5F907ECD" w14:textId="77777777" w:rsidR="00090B5B" w:rsidRDefault="00090B5B" w:rsidP="00F26653">
            <w:pPr>
              <w:pStyle w:val="Body1"/>
              <w:tabs>
                <w:tab w:val="left" w:pos="2775"/>
              </w:tabs>
              <w:rPr>
                <w:rFonts w:ascii="Lucida Sans" w:hAnsi="Lucida Sans"/>
                <w:bCs/>
                <w:sz w:val="20"/>
              </w:rPr>
            </w:pPr>
            <w:r>
              <w:rPr>
                <w:rFonts w:ascii="Lucida Sans" w:hAnsi="Lucida Sans"/>
                <w:bCs/>
                <w:sz w:val="20"/>
              </w:rPr>
              <w:t xml:space="preserve">(ix) 99/1920 – Council Operation During COVID - </w:t>
            </w:r>
            <w:r w:rsidRPr="00090B5B">
              <w:rPr>
                <w:rFonts w:ascii="Lucida Sans" w:hAnsi="Lucida Sans"/>
                <w:bCs/>
                <w:sz w:val="20"/>
              </w:rPr>
              <w:t xml:space="preserve">Proposals for Changes to Council Operation During </w:t>
            </w:r>
            <w:proofErr w:type="spellStart"/>
            <w:r w:rsidRPr="00090B5B">
              <w:rPr>
                <w:rFonts w:ascii="Lucida Sans" w:hAnsi="Lucida Sans"/>
                <w:bCs/>
                <w:sz w:val="20"/>
              </w:rPr>
              <w:t>Covid</w:t>
            </w:r>
            <w:proofErr w:type="spellEnd"/>
            <w:r>
              <w:rPr>
                <w:rFonts w:ascii="Lucida Sans" w:hAnsi="Lucida Sans"/>
                <w:bCs/>
                <w:sz w:val="20"/>
              </w:rPr>
              <w:t xml:space="preserve"> – A full report to be developed.</w:t>
            </w:r>
          </w:p>
          <w:p w14:paraId="455D7562" w14:textId="77777777" w:rsidR="00544519" w:rsidRDefault="00090B5B" w:rsidP="00F26653">
            <w:pPr>
              <w:pStyle w:val="Body1"/>
              <w:tabs>
                <w:tab w:val="left" w:pos="2775"/>
              </w:tabs>
              <w:rPr>
                <w:rFonts w:ascii="Lucida Sans" w:hAnsi="Lucida Sans"/>
                <w:bCs/>
                <w:sz w:val="20"/>
              </w:rPr>
            </w:pPr>
            <w:r>
              <w:rPr>
                <w:rFonts w:ascii="Lucida Sans" w:hAnsi="Lucida Sans"/>
                <w:bCs/>
                <w:sz w:val="20"/>
              </w:rPr>
              <w:t xml:space="preserve">An update on actions from the last Council Effectiveness Review was then noted with progress largely complete on all actions. The Council Responsibilities document was then briefly </w:t>
            </w:r>
            <w:proofErr w:type="gramStart"/>
            <w:r>
              <w:rPr>
                <w:rFonts w:ascii="Lucida Sans" w:hAnsi="Lucida Sans"/>
                <w:bCs/>
                <w:sz w:val="20"/>
              </w:rPr>
              <w:t>discussed</w:t>
            </w:r>
            <w:proofErr w:type="gramEnd"/>
            <w:r>
              <w:rPr>
                <w:rFonts w:ascii="Lucida Sans" w:hAnsi="Lucida Sans"/>
                <w:bCs/>
                <w:sz w:val="20"/>
              </w:rPr>
              <w:t xml:space="preserve"> and amendments suggested.</w:t>
            </w:r>
          </w:p>
          <w:p w14:paraId="2D6D148F" w14:textId="77777777" w:rsidR="003254C5" w:rsidRPr="00682AC6" w:rsidRDefault="00556274" w:rsidP="00F26653">
            <w:pPr>
              <w:pStyle w:val="Body1"/>
              <w:tabs>
                <w:tab w:val="left" w:pos="2775"/>
              </w:tabs>
              <w:rPr>
                <w:rFonts w:ascii="Lucida Sans" w:hAnsi="Lucida Sans"/>
                <w:bCs/>
                <w:sz w:val="20"/>
              </w:rPr>
            </w:pPr>
            <w:r w:rsidRPr="00556274">
              <w:rPr>
                <w:rFonts w:ascii="Lucida Sans" w:hAnsi="Lucida Sans"/>
                <w:bCs/>
                <w:sz w:val="20"/>
              </w:rPr>
              <w:t>The Chief Operating Officer provided a verbal update on the project to modernise and streamline the University Charter, Statutes and Ordinances.  The project, which has yet to start, requires a significant level of resource from HR which is currently being prioritised to work on cost saving measures.  It is expected that this project and the resource required will now start in January and will take 15 months to conclude. The update was noted.</w:t>
            </w:r>
          </w:p>
        </w:tc>
      </w:tr>
      <w:tr w:rsidR="001D2F0A" w:rsidRPr="008028C4" w14:paraId="76B4E3FC"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279803D6" w14:textId="77777777" w:rsidR="001D2F0A" w:rsidRDefault="00672DF6" w:rsidP="009464AF">
            <w:pPr>
              <w:rPr>
                <w:rFonts w:cs="Arial"/>
                <w:b/>
                <w:sz w:val="20"/>
                <w:szCs w:val="20"/>
              </w:rPr>
            </w:pPr>
            <w:r>
              <w:rPr>
                <w:rFonts w:cs="Arial"/>
                <w:b/>
                <w:sz w:val="20"/>
                <w:szCs w:val="20"/>
              </w:rPr>
              <w:lastRenderedPageBreak/>
              <w:t>104</w:t>
            </w:r>
          </w:p>
        </w:tc>
        <w:tc>
          <w:tcPr>
            <w:tcW w:w="8805" w:type="dxa"/>
            <w:gridSpan w:val="4"/>
            <w:tcBorders>
              <w:top w:val="nil"/>
              <w:left w:val="nil"/>
              <w:bottom w:val="nil"/>
              <w:right w:val="nil"/>
            </w:tcBorders>
            <w:shd w:val="clear" w:color="auto" w:fill="auto"/>
          </w:tcPr>
          <w:p w14:paraId="0DD8032F" w14:textId="77777777" w:rsidR="001D2F0A" w:rsidRDefault="001D2F0A" w:rsidP="00F57CB8">
            <w:pPr>
              <w:pStyle w:val="Body1"/>
              <w:tabs>
                <w:tab w:val="left" w:pos="2775"/>
              </w:tabs>
              <w:rPr>
                <w:rFonts w:ascii="Lucida Sans" w:hAnsi="Lucida Sans"/>
                <w:b/>
                <w:sz w:val="20"/>
              </w:rPr>
            </w:pPr>
            <w:r>
              <w:rPr>
                <w:rFonts w:ascii="Lucida Sans" w:hAnsi="Lucida Sans"/>
                <w:b/>
                <w:sz w:val="20"/>
              </w:rPr>
              <w:t>Declarations of Interest</w:t>
            </w:r>
          </w:p>
          <w:p w14:paraId="32FEDEC4" w14:textId="77777777" w:rsidR="0005043E" w:rsidRPr="00EB2392" w:rsidRDefault="00F826E3" w:rsidP="008E7164">
            <w:pPr>
              <w:pStyle w:val="Body1"/>
              <w:tabs>
                <w:tab w:val="left" w:pos="2775"/>
              </w:tabs>
              <w:rPr>
                <w:rFonts w:ascii="Lucida Sans" w:hAnsi="Lucida Sans"/>
                <w:bCs/>
                <w:sz w:val="20"/>
              </w:rPr>
            </w:pPr>
            <w:r w:rsidRPr="00EB2392">
              <w:rPr>
                <w:rFonts w:ascii="Lucida Sans" w:hAnsi="Lucida Sans"/>
                <w:bCs/>
                <w:sz w:val="20"/>
              </w:rPr>
              <w:t xml:space="preserve">No </w:t>
            </w:r>
            <w:r w:rsidR="00EB2392" w:rsidRPr="00EB2392">
              <w:rPr>
                <w:rFonts w:ascii="Lucida Sans" w:hAnsi="Lucida Sans"/>
                <w:bCs/>
                <w:sz w:val="20"/>
              </w:rPr>
              <w:t xml:space="preserve">specific </w:t>
            </w:r>
            <w:r w:rsidRPr="00EB2392">
              <w:rPr>
                <w:rFonts w:ascii="Lucida Sans" w:hAnsi="Lucida Sans"/>
                <w:bCs/>
                <w:sz w:val="20"/>
              </w:rPr>
              <w:t>declarations were made.</w:t>
            </w:r>
            <w:r w:rsidR="00EB2392" w:rsidRPr="00EB2392">
              <w:rPr>
                <w:rFonts w:ascii="Lucida Sans" w:hAnsi="Lucida Sans"/>
                <w:bCs/>
                <w:sz w:val="20"/>
              </w:rPr>
              <w:t xml:space="preserve"> Council was reminded of </w:t>
            </w:r>
            <w:r w:rsidR="00EB2392" w:rsidRPr="00EB2392">
              <w:rPr>
                <w:rFonts w:ascii="Lucida Sans" w:hAnsi="Lucida Sans"/>
                <w:sz w:val="20"/>
              </w:rPr>
              <w:t>bond price sensitivity information and the insider register.</w:t>
            </w:r>
          </w:p>
        </w:tc>
      </w:tr>
      <w:tr w:rsidR="001D2F0A" w:rsidRPr="008028C4" w14:paraId="18C64A84"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149B3223" w14:textId="77777777" w:rsidR="001D2F0A" w:rsidRDefault="00672DF6" w:rsidP="001D2F0A">
            <w:pPr>
              <w:rPr>
                <w:rFonts w:cs="Arial"/>
                <w:b/>
                <w:sz w:val="20"/>
                <w:szCs w:val="20"/>
              </w:rPr>
            </w:pPr>
            <w:r>
              <w:rPr>
                <w:rFonts w:cs="Arial"/>
                <w:b/>
                <w:sz w:val="20"/>
                <w:szCs w:val="20"/>
              </w:rPr>
              <w:t>105</w:t>
            </w:r>
          </w:p>
        </w:tc>
        <w:tc>
          <w:tcPr>
            <w:tcW w:w="8805" w:type="dxa"/>
            <w:gridSpan w:val="4"/>
            <w:tcBorders>
              <w:top w:val="nil"/>
              <w:left w:val="nil"/>
              <w:bottom w:val="nil"/>
              <w:right w:val="nil"/>
            </w:tcBorders>
            <w:shd w:val="clear" w:color="auto" w:fill="auto"/>
          </w:tcPr>
          <w:p w14:paraId="20DF184C" w14:textId="77777777" w:rsidR="001D2F0A" w:rsidRPr="008028C4" w:rsidRDefault="001D2F0A" w:rsidP="001D2F0A">
            <w:pPr>
              <w:rPr>
                <w:rFonts w:cs="Arial"/>
                <w:sz w:val="20"/>
                <w:szCs w:val="20"/>
              </w:rPr>
            </w:pPr>
            <w:r w:rsidRPr="008028C4">
              <w:rPr>
                <w:rFonts w:cs="Arial"/>
                <w:b/>
                <w:sz w:val="20"/>
                <w:szCs w:val="20"/>
              </w:rPr>
              <w:t>Publication of unrestricted papers</w:t>
            </w:r>
          </w:p>
          <w:p w14:paraId="29B3DC33" w14:textId="77777777" w:rsidR="001D2F0A" w:rsidRPr="008028C4" w:rsidRDefault="001D2F0A" w:rsidP="001D2F0A">
            <w:pPr>
              <w:rPr>
                <w:rFonts w:cs="Arial"/>
                <w:sz w:val="20"/>
                <w:szCs w:val="20"/>
              </w:rPr>
            </w:pPr>
          </w:p>
          <w:p w14:paraId="74135A07" w14:textId="77777777" w:rsidR="00346E8B" w:rsidRDefault="001D2F0A" w:rsidP="00346E8B">
            <w:pPr>
              <w:pStyle w:val="DocSubtitle"/>
              <w:spacing w:before="0" w:after="0" w:line="240" w:lineRule="auto"/>
              <w:ind w:left="7" w:hanging="7"/>
              <w:rPr>
                <w:rFonts w:cs="Arial"/>
                <w:b w:val="0"/>
                <w:bCs/>
                <w:color w:val="auto"/>
                <w:sz w:val="20"/>
                <w:szCs w:val="20"/>
              </w:rPr>
            </w:pPr>
            <w:r w:rsidRPr="008028C4">
              <w:rPr>
                <w:rFonts w:cs="Arial"/>
                <w:bCs/>
                <w:color w:val="auto"/>
                <w:sz w:val="20"/>
                <w:szCs w:val="20"/>
              </w:rPr>
              <w:t xml:space="preserve">RESOLVED </w:t>
            </w:r>
            <w:r w:rsidR="00F826E3">
              <w:rPr>
                <w:rFonts w:cs="Arial"/>
                <w:b w:val="0"/>
                <w:bCs/>
                <w:color w:val="auto"/>
                <w:sz w:val="20"/>
                <w:szCs w:val="20"/>
              </w:rPr>
              <w:t>That no papers be released.</w:t>
            </w:r>
          </w:p>
          <w:p w14:paraId="2571C604" w14:textId="77777777" w:rsidR="001D2F0A" w:rsidRPr="00073AF7" w:rsidRDefault="001D2F0A" w:rsidP="0079154B">
            <w:pPr>
              <w:pStyle w:val="DocSubtitle"/>
              <w:spacing w:before="0" w:after="0" w:line="240" w:lineRule="auto"/>
              <w:rPr>
                <w:rFonts w:cs="Arial"/>
                <w:bCs/>
                <w:color w:val="auto"/>
                <w:sz w:val="20"/>
                <w:szCs w:val="20"/>
              </w:rPr>
            </w:pPr>
          </w:p>
        </w:tc>
      </w:tr>
      <w:tr w:rsidR="00FD12F8" w:rsidRPr="008028C4" w14:paraId="5D651565"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0A25733D" w14:textId="77777777" w:rsidR="00FD12F8" w:rsidRDefault="00672DF6" w:rsidP="001D2F0A">
            <w:pPr>
              <w:rPr>
                <w:rFonts w:cs="Arial"/>
                <w:b/>
                <w:sz w:val="20"/>
                <w:szCs w:val="20"/>
              </w:rPr>
            </w:pPr>
            <w:r>
              <w:rPr>
                <w:rFonts w:cs="Arial"/>
                <w:b/>
                <w:sz w:val="20"/>
                <w:szCs w:val="20"/>
              </w:rPr>
              <w:t>106</w:t>
            </w:r>
          </w:p>
        </w:tc>
        <w:tc>
          <w:tcPr>
            <w:tcW w:w="8805" w:type="dxa"/>
            <w:gridSpan w:val="4"/>
            <w:tcBorders>
              <w:top w:val="nil"/>
              <w:left w:val="nil"/>
              <w:bottom w:val="nil"/>
              <w:right w:val="nil"/>
            </w:tcBorders>
            <w:shd w:val="clear" w:color="auto" w:fill="auto"/>
          </w:tcPr>
          <w:p w14:paraId="59C290FF" w14:textId="77777777" w:rsidR="00FD12F8" w:rsidRPr="00E9257A" w:rsidRDefault="00234883" w:rsidP="00DD605D">
            <w:pPr>
              <w:rPr>
                <w:rFonts w:cs="Arial"/>
                <w:b/>
                <w:sz w:val="20"/>
                <w:szCs w:val="20"/>
              </w:rPr>
            </w:pPr>
            <w:r>
              <w:rPr>
                <w:rFonts w:cs="Arial"/>
                <w:b/>
                <w:sz w:val="20"/>
                <w:szCs w:val="20"/>
              </w:rPr>
              <w:t>President and Vice</w:t>
            </w:r>
            <w:r w:rsidR="002C1867">
              <w:rPr>
                <w:rFonts w:cs="Arial"/>
                <w:b/>
                <w:sz w:val="20"/>
                <w:szCs w:val="20"/>
              </w:rPr>
              <w:t>-</w:t>
            </w:r>
            <w:r>
              <w:rPr>
                <w:rFonts w:cs="Arial"/>
                <w:b/>
                <w:sz w:val="20"/>
                <w:szCs w:val="20"/>
              </w:rPr>
              <w:t>Chancellor’s Report</w:t>
            </w:r>
          </w:p>
          <w:p w14:paraId="18417C6D" w14:textId="77777777" w:rsidR="00FD12F8" w:rsidRDefault="00FD12F8" w:rsidP="00DD605D">
            <w:pPr>
              <w:rPr>
                <w:rFonts w:cs="Arial"/>
                <w:bCs/>
                <w:sz w:val="20"/>
                <w:szCs w:val="20"/>
              </w:rPr>
            </w:pPr>
          </w:p>
          <w:p w14:paraId="234F29C1" w14:textId="77777777" w:rsidR="009E7350" w:rsidRDefault="00E37A6F" w:rsidP="00E37A6F">
            <w:pPr>
              <w:rPr>
                <w:rFonts w:cs="Arial"/>
                <w:bCs/>
                <w:sz w:val="20"/>
                <w:szCs w:val="20"/>
              </w:rPr>
            </w:pPr>
            <w:r>
              <w:rPr>
                <w:rFonts w:cs="Arial"/>
                <w:bCs/>
                <w:sz w:val="20"/>
                <w:szCs w:val="20"/>
              </w:rPr>
              <w:t xml:space="preserve">Council </w:t>
            </w:r>
            <w:r w:rsidR="00544519">
              <w:rPr>
                <w:rFonts w:cs="Arial"/>
                <w:bCs/>
                <w:sz w:val="20"/>
                <w:szCs w:val="20"/>
              </w:rPr>
              <w:t>noted</w:t>
            </w:r>
            <w:r w:rsidR="00672DF6">
              <w:rPr>
                <w:rFonts w:cs="Arial"/>
                <w:bCs/>
                <w:sz w:val="20"/>
                <w:szCs w:val="20"/>
              </w:rPr>
              <w:t xml:space="preserve"> highlights from the last</w:t>
            </w:r>
            <w:r w:rsidR="009E7350">
              <w:rPr>
                <w:rFonts w:cs="Arial"/>
                <w:bCs/>
                <w:sz w:val="20"/>
                <w:szCs w:val="20"/>
              </w:rPr>
              <w:t xml:space="preserve"> monthly Vice-</w:t>
            </w:r>
            <w:r w:rsidR="00672DF6">
              <w:rPr>
                <w:rFonts w:cs="Arial"/>
                <w:bCs/>
                <w:sz w:val="20"/>
                <w:szCs w:val="20"/>
              </w:rPr>
              <w:t>Chancellor and Executive report</w:t>
            </w:r>
            <w:r w:rsidR="009E7350">
              <w:rPr>
                <w:rFonts w:cs="Arial"/>
                <w:bCs/>
                <w:sz w:val="20"/>
                <w:szCs w:val="20"/>
              </w:rPr>
              <w:t>.</w:t>
            </w:r>
          </w:p>
          <w:p w14:paraId="2F01A7E2" w14:textId="77777777" w:rsidR="009E7350" w:rsidRDefault="009E7350" w:rsidP="00AD5329">
            <w:pPr>
              <w:rPr>
                <w:rFonts w:cs="Arial"/>
                <w:bCs/>
                <w:sz w:val="20"/>
                <w:szCs w:val="20"/>
              </w:rPr>
            </w:pPr>
          </w:p>
          <w:p w14:paraId="6D92499D" w14:textId="77777777" w:rsidR="00F826E3" w:rsidRDefault="00F826E3" w:rsidP="00672DF6">
            <w:pPr>
              <w:rPr>
                <w:rFonts w:cs="Arial"/>
                <w:bCs/>
                <w:sz w:val="20"/>
                <w:szCs w:val="20"/>
              </w:rPr>
            </w:pPr>
            <w:r>
              <w:rPr>
                <w:rFonts w:cs="Arial"/>
                <w:bCs/>
                <w:sz w:val="20"/>
                <w:szCs w:val="20"/>
              </w:rPr>
              <w:t xml:space="preserve">The Vice-Chancellor </w:t>
            </w:r>
            <w:r w:rsidR="00672DF6">
              <w:rPr>
                <w:rFonts w:cs="Arial"/>
                <w:bCs/>
                <w:sz w:val="20"/>
                <w:szCs w:val="20"/>
              </w:rPr>
              <w:t xml:space="preserve">thanked staff for their continued hard work under difficult </w:t>
            </w:r>
            <w:r w:rsidR="00680E6D">
              <w:rPr>
                <w:rFonts w:cs="Arial"/>
                <w:bCs/>
                <w:sz w:val="20"/>
                <w:szCs w:val="20"/>
              </w:rPr>
              <w:t>circumstances</w:t>
            </w:r>
            <w:r w:rsidR="00672DF6">
              <w:rPr>
                <w:rFonts w:cs="Arial"/>
                <w:bCs/>
                <w:sz w:val="20"/>
                <w:szCs w:val="20"/>
              </w:rPr>
              <w:t xml:space="preserve"> and highlighted that the exam boards were now finishing their work as the summer term </w:t>
            </w:r>
            <w:proofErr w:type="gramStart"/>
            <w:r w:rsidR="00672DF6">
              <w:rPr>
                <w:rFonts w:cs="Arial"/>
                <w:bCs/>
                <w:sz w:val="20"/>
                <w:szCs w:val="20"/>
              </w:rPr>
              <w:t>drew to a close</w:t>
            </w:r>
            <w:proofErr w:type="gramEnd"/>
            <w:r w:rsidR="00672DF6">
              <w:rPr>
                <w:rFonts w:cs="Arial"/>
                <w:bCs/>
                <w:sz w:val="20"/>
                <w:szCs w:val="20"/>
              </w:rPr>
              <w:t>. More University regulations and procedures had been amended to take account of the new ways of working and thorough scrutiny of those changes had taken place.</w:t>
            </w:r>
          </w:p>
          <w:p w14:paraId="201EF4F0" w14:textId="77777777" w:rsidR="00672DF6" w:rsidRDefault="00672DF6" w:rsidP="00672DF6">
            <w:pPr>
              <w:rPr>
                <w:rFonts w:cs="Arial"/>
                <w:bCs/>
                <w:sz w:val="20"/>
                <w:szCs w:val="20"/>
              </w:rPr>
            </w:pPr>
          </w:p>
          <w:p w14:paraId="5EA75A0D" w14:textId="6C7D5DC7" w:rsidR="007855F6" w:rsidRDefault="00556274" w:rsidP="00672DF6">
            <w:pPr>
              <w:rPr>
                <w:rFonts w:cs="Arial"/>
                <w:bCs/>
                <w:sz w:val="20"/>
                <w:szCs w:val="20"/>
              </w:rPr>
            </w:pPr>
            <w:r w:rsidRPr="00556274">
              <w:rPr>
                <w:rFonts w:cs="Arial"/>
                <w:bCs/>
                <w:sz w:val="20"/>
                <w:szCs w:val="20"/>
              </w:rPr>
              <w:t xml:space="preserve">A student number cap was to be introduced for the next academic year. If </w:t>
            </w:r>
            <w:proofErr w:type="gramStart"/>
            <w:r w:rsidRPr="00556274">
              <w:rPr>
                <w:rFonts w:cs="Arial"/>
                <w:bCs/>
                <w:sz w:val="20"/>
                <w:szCs w:val="20"/>
              </w:rPr>
              <w:t>all of</w:t>
            </w:r>
            <w:proofErr w:type="gramEnd"/>
            <w:r w:rsidRPr="00556274">
              <w:rPr>
                <w:rFonts w:cs="Arial"/>
                <w:bCs/>
                <w:sz w:val="20"/>
                <w:szCs w:val="20"/>
              </w:rPr>
              <w:t xml:space="preserve"> our firm acceptances me</w:t>
            </w:r>
            <w:r w:rsidR="007520C6">
              <w:rPr>
                <w:rFonts w:cs="Arial"/>
                <w:bCs/>
                <w:sz w:val="20"/>
                <w:szCs w:val="20"/>
              </w:rPr>
              <w:t>e</w:t>
            </w:r>
            <w:r w:rsidRPr="00556274">
              <w:rPr>
                <w:rFonts w:cs="Arial"/>
                <w:bCs/>
                <w:sz w:val="20"/>
                <w:szCs w:val="20"/>
              </w:rPr>
              <w:t xml:space="preserve">t the conditions of their offer then, at this point, Southampton would have reached, and exceeded, the cap number allocated for home under-graduates. However, this is unlikely. A bid for </w:t>
            </w:r>
            <w:r w:rsidR="000C6BE2">
              <w:rPr>
                <w:rFonts w:cs="Arial"/>
                <w:bCs/>
                <w:sz w:val="20"/>
                <w:szCs w:val="20"/>
              </w:rPr>
              <w:t xml:space="preserve">just under </w:t>
            </w:r>
            <w:r w:rsidRPr="00556274">
              <w:rPr>
                <w:rFonts w:cs="Arial"/>
                <w:bCs/>
                <w:sz w:val="20"/>
                <w:szCs w:val="20"/>
              </w:rPr>
              <w:t>1</w:t>
            </w:r>
            <w:r w:rsidR="000C6BE2">
              <w:rPr>
                <w:rFonts w:cs="Arial"/>
                <w:bCs/>
                <w:sz w:val="20"/>
                <w:szCs w:val="20"/>
              </w:rPr>
              <w:t>70</w:t>
            </w:r>
            <w:r w:rsidRPr="00556274">
              <w:rPr>
                <w:rFonts w:cs="Arial"/>
                <w:bCs/>
                <w:sz w:val="20"/>
                <w:szCs w:val="20"/>
              </w:rPr>
              <w:t xml:space="preserve"> additional places ha</w:t>
            </w:r>
            <w:r w:rsidR="007520C6">
              <w:rPr>
                <w:rFonts w:cs="Arial"/>
                <w:bCs/>
                <w:sz w:val="20"/>
                <w:szCs w:val="20"/>
              </w:rPr>
              <w:t>s</w:t>
            </w:r>
            <w:r w:rsidRPr="00556274">
              <w:rPr>
                <w:rFonts w:cs="Arial"/>
                <w:bCs/>
                <w:sz w:val="20"/>
                <w:szCs w:val="20"/>
              </w:rPr>
              <w:t xml:space="preserve"> been made under a Government scheme where 10,000 extra places </w:t>
            </w:r>
            <w:r w:rsidR="007520C6">
              <w:rPr>
                <w:rFonts w:cs="Arial"/>
                <w:bCs/>
                <w:sz w:val="20"/>
                <w:szCs w:val="20"/>
              </w:rPr>
              <w:t xml:space="preserve">have been </w:t>
            </w:r>
            <w:r w:rsidRPr="00556274">
              <w:rPr>
                <w:rFonts w:cs="Arial"/>
                <w:bCs/>
                <w:sz w:val="20"/>
                <w:szCs w:val="20"/>
              </w:rPr>
              <w:t xml:space="preserve">allocated nationally to strategically important subjects. The </w:t>
            </w:r>
            <w:proofErr w:type="spellStart"/>
            <w:r w:rsidRPr="00556274">
              <w:rPr>
                <w:rFonts w:cs="Arial"/>
                <w:bCs/>
                <w:sz w:val="20"/>
                <w:szCs w:val="20"/>
              </w:rPr>
              <w:t>OfS</w:t>
            </w:r>
            <w:proofErr w:type="spellEnd"/>
            <w:r w:rsidRPr="00556274">
              <w:rPr>
                <w:rFonts w:cs="Arial"/>
                <w:bCs/>
                <w:sz w:val="20"/>
                <w:szCs w:val="20"/>
              </w:rPr>
              <w:t xml:space="preserve"> </w:t>
            </w:r>
            <w:r w:rsidR="007520C6">
              <w:rPr>
                <w:rFonts w:cs="Arial"/>
                <w:bCs/>
                <w:sz w:val="20"/>
                <w:szCs w:val="20"/>
              </w:rPr>
              <w:t>is</w:t>
            </w:r>
            <w:r w:rsidR="007520C6" w:rsidRPr="00556274">
              <w:rPr>
                <w:rFonts w:cs="Arial"/>
                <w:bCs/>
                <w:sz w:val="20"/>
                <w:szCs w:val="20"/>
              </w:rPr>
              <w:t xml:space="preserve"> </w:t>
            </w:r>
            <w:r w:rsidRPr="00556274">
              <w:rPr>
                <w:rFonts w:cs="Arial"/>
                <w:bCs/>
                <w:sz w:val="20"/>
                <w:szCs w:val="20"/>
              </w:rPr>
              <w:t xml:space="preserve">in the process of revising regulations enabling penalties, including fines, to be imposed on institutions for over-recruiting or using </w:t>
            </w:r>
            <w:r w:rsidR="000C6BE2">
              <w:rPr>
                <w:rFonts w:cs="Arial"/>
                <w:bCs/>
                <w:sz w:val="20"/>
                <w:szCs w:val="20"/>
              </w:rPr>
              <w:t>inappropriate</w:t>
            </w:r>
            <w:r w:rsidR="000C6BE2" w:rsidRPr="00556274">
              <w:rPr>
                <w:rFonts w:cs="Arial"/>
                <w:bCs/>
                <w:sz w:val="20"/>
                <w:szCs w:val="20"/>
              </w:rPr>
              <w:t xml:space="preserve"> </w:t>
            </w:r>
            <w:r w:rsidRPr="00556274">
              <w:rPr>
                <w:rFonts w:cs="Arial"/>
                <w:bCs/>
                <w:sz w:val="20"/>
                <w:szCs w:val="20"/>
              </w:rPr>
              <w:t>recruitment tactics.</w:t>
            </w:r>
          </w:p>
          <w:p w14:paraId="55368DC5" w14:textId="508912CD" w:rsidR="007855F6" w:rsidRDefault="007855F6" w:rsidP="00672DF6">
            <w:pPr>
              <w:rPr>
                <w:rFonts w:cs="Arial"/>
                <w:bCs/>
                <w:sz w:val="20"/>
                <w:szCs w:val="20"/>
              </w:rPr>
            </w:pPr>
            <w:r>
              <w:rPr>
                <w:rFonts w:cs="Arial"/>
                <w:bCs/>
                <w:sz w:val="20"/>
                <w:szCs w:val="20"/>
              </w:rPr>
              <w:lastRenderedPageBreak/>
              <w:t xml:space="preserve">It was noted that the Nuffield Theatre Company had ceased trading and gone into administration. The University had ceased all ties with the Company back in April 2020 so there was no immediate impact for the University and work was underway in partnership with Southampton City Council to assess the arts offer in the </w:t>
            </w:r>
            <w:r w:rsidR="000C6BE2">
              <w:rPr>
                <w:rFonts w:cs="Arial"/>
                <w:bCs/>
                <w:sz w:val="20"/>
                <w:szCs w:val="20"/>
              </w:rPr>
              <w:t>C</w:t>
            </w:r>
            <w:r>
              <w:rPr>
                <w:rFonts w:cs="Arial"/>
                <w:bCs/>
                <w:sz w:val="20"/>
                <w:szCs w:val="20"/>
              </w:rPr>
              <w:t>ity.</w:t>
            </w:r>
          </w:p>
          <w:p w14:paraId="28E9B1BC" w14:textId="77777777" w:rsidR="007855F6" w:rsidRDefault="007855F6" w:rsidP="00672DF6">
            <w:pPr>
              <w:rPr>
                <w:rFonts w:cs="Arial"/>
                <w:bCs/>
                <w:sz w:val="20"/>
                <w:szCs w:val="20"/>
              </w:rPr>
            </w:pPr>
          </w:p>
          <w:p w14:paraId="285433BE" w14:textId="77777777" w:rsidR="007855F6" w:rsidRDefault="007855F6" w:rsidP="00672DF6">
            <w:pPr>
              <w:rPr>
                <w:rFonts w:cs="Arial"/>
                <w:bCs/>
                <w:sz w:val="20"/>
                <w:szCs w:val="20"/>
              </w:rPr>
            </w:pPr>
            <w:r>
              <w:rPr>
                <w:rFonts w:cs="Arial"/>
                <w:bCs/>
                <w:sz w:val="20"/>
                <w:szCs w:val="20"/>
              </w:rPr>
              <w:t>The COVID Track and Trace pilot scheme was now up and running successfully testing University staff and other key worker staff who lived in certain SO postcodes.</w:t>
            </w:r>
          </w:p>
          <w:p w14:paraId="4151CD93" w14:textId="77777777" w:rsidR="007855F6" w:rsidRDefault="007855F6" w:rsidP="00672DF6">
            <w:pPr>
              <w:rPr>
                <w:rFonts w:cs="Arial"/>
                <w:bCs/>
                <w:sz w:val="20"/>
                <w:szCs w:val="20"/>
              </w:rPr>
            </w:pPr>
          </w:p>
          <w:p w14:paraId="7A485A2A" w14:textId="1F71897B" w:rsidR="000C6BE2" w:rsidRDefault="007855F6" w:rsidP="00672DF6">
            <w:pPr>
              <w:rPr>
                <w:rFonts w:cs="Arial"/>
                <w:bCs/>
                <w:sz w:val="20"/>
                <w:szCs w:val="20"/>
              </w:rPr>
            </w:pPr>
            <w:r>
              <w:rPr>
                <w:rFonts w:cs="Arial"/>
                <w:bCs/>
                <w:sz w:val="20"/>
                <w:szCs w:val="20"/>
              </w:rPr>
              <w:t>The Government had recentl</w:t>
            </w:r>
            <w:r w:rsidRPr="008B6CEB">
              <w:rPr>
                <w:rFonts w:cs="Arial"/>
                <w:bCs/>
                <w:sz w:val="20"/>
                <w:szCs w:val="20"/>
              </w:rPr>
              <w:t xml:space="preserve">y addressed the issue of help for </w:t>
            </w:r>
            <w:r w:rsidR="008B6CEB" w:rsidRPr="008B6CEB">
              <w:rPr>
                <w:rFonts w:cs="Arial"/>
                <w:bCs/>
                <w:sz w:val="20"/>
                <w:szCs w:val="20"/>
              </w:rPr>
              <w:t>UK Research</w:t>
            </w:r>
            <w:bookmarkStart w:id="0" w:name="_GoBack"/>
            <w:bookmarkEnd w:id="0"/>
            <w:r w:rsidR="008B6CEB" w:rsidRPr="008B6CEB">
              <w:rPr>
                <w:rFonts w:cs="Arial"/>
                <w:bCs/>
                <w:sz w:val="20"/>
                <w:szCs w:val="20"/>
              </w:rPr>
              <w:t xml:space="preserve"> and Innovation</w:t>
            </w:r>
            <w:r w:rsidR="000C6BE2" w:rsidRPr="008B6CEB">
              <w:rPr>
                <w:rFonts w:cs="Arial"/>
                <w:bCs/>
                <w:sz w:val="20"/>
                <w:szCs w:val="20"/>
              </w:rPr>
              <w:t xml:space="preserve">-funded </w:t>
            </w:r>
            <w:r w:rsidRPr="008B6CEB">
              <w:rPr>
                <w:rFonts w:cs="Arial"/>
                <w:bCs/>
                <w:sz w:val="20"/>
                <w:szCs w:val="20"/>
              </w:rPr>
              <w:t>researchers</w:t>
            </w:r>
            <w:r>
              <w:rPr>
                <w:rFonts w:cs="Arial"/>
                <w:bCs/>
                <w:sz w:val="20"/>
                <w:szCs w:val="20"/>
              </w:rPr>
              <w:t xml:space="preserve"> at </w:t>
            </w:r>
            <w:r w:rsidR="000C6BE2">
              <w:rPr>
                <w:rFonts w:cs="Arial"/>
                <w:bCs/>
                <w:sz w:val="20"/>
                <w:szCs w:val="20"/>
              </w:rPr>
              <w:t>u</w:t>
            </w:r>
            <w:r>
              <w:rPr>
                <w:rFonts w:cs="Arial"/>
                <w:bCs/>
                <w:sz w:val="20"/>
                <w:szCs w:val="20"/>
              </w:rPr>
              <w:t xml:space="preserve">niversities, particularly for </w:t>
            </w:r>
            <w:r w:rsidR="000C6BE2">
              <w:rPr>
                <w:rFonts w:cs="Arial"/>
                <w:bCs/>
                <w:sz w:val="20"/>
                <w:szCs w:val="20"/>
              </w:rPr>
              <w:t>u</w:t>
            </w:r>
            <w:r>
              <w:rPr>
                <w:rFonts w:cs="Arial"/>
                <w:bCs/>
                <w:sz w:val="20"/>
                <w:szCs w:val="20"/>
              </w:rPr>
              <w:t xml:space="preserve">niversities where </w:t>
            </w:r>
            <w:r w:rsidR="000C6BE2">
              <w:rPr>
                <w:rFonts w:cs="Arial"/>
                <w:bCs/>
                <w:sz w:val="20"/>
                <w:szCs w:val="20"/>
              </w:rPr>
              <w:t xml:space="preserve">overseas </w:t>
            </w:r>
            <w:r>
              <w:rPr>
                <w:rFonts w:cs="Arial"/>
                <w:bCs/>
                <w:sz w:val="20"/>
                <w:szCs w:val="20"/>
              </w:rPr>
              <w:t xml:space="preserve">student numbers </w:t>
            </w:r>
            <w:r w:rsidR="000C6BE2">
              <w:rPr>
                <w:rFonts w:cs="Arial"/>
                <w:bCs/>
                <w:sz w:val="20"/>
                <w:szCs w:val="20"/>
              </w:rPr>
              <w:t xml:space="preserve">might significantly </w:t>
            </w:r>
            <w:r>
              <w:rPr>
                <w:rFonts w:cs="Arial"/>
                <w:bCs/>
                <w:sz w:val="20"/>
                <w:szCs w:val="20"/>
              </w:rPr>
              <w:t>decline.</w:t>
            </w:r>
          </w:p>
          <w:p w14:paraId="44B7EE53" w14:textId="77777777" w:rsidR="000C6BE2" w:rsidRDefault="000C6BE2" w:rsidP="00672DF6">
            <w:pPr>
              <w:rPr>
                <w:rFonts w:cs="Arial"/>
                <w:bCs/>
                <w:sz w:val="20"/>
                <w:szCs w:val="20"/>
              </w:rPr>
            </w:pPr>
          </w:p>
          <w:p w14:paraId="5F3EC3BC" w14:textId="4661F829" w:rsidR="007855F6" w:rsidRDefault="007855F6" w:rsidP="00672DF6">
            <w:pPr>
              <w:rPr>
                <w:rFonts w:cs="Arial"/>
                <w:bCs/>
                <w:sz w:val="20"/>
                <w:szCs w:val="20"/>
              </w:rPr>
            </w:pPr>
            <w:r>
              <w:rPr>
                <w:rFonts w:cs="Arial"/>
                <w:bCs/>
                <w:sz w:val="20"/>
                <w:szCs w:val="20"/>
              </w:rPr>
              <w:t xml:space="preserve">A </w:t>
            </w:r>
            <w:r w:rsidR="000C6BE2">
              <w:rPr>
                <w:rFonts w:cs="Arial"/>
                <w:bCs/>
                <w:sz w:val="20"/>
                <w:szCs w:val="20"/>
              </w:rPr>
              <w:t xml:space="preserve">Research and Development </w:t>
            </w:r>
            <w:r>
              <w:rPr>
                <w:rFonts w:cs="Arial"/>
                <w:bCs/>
                <w:sz w:val="20"/>
                <w:szCs w:val="20"/>
              </w:rPr>
              <w:t xml:space="preserve">Roadmap had been produced by Government but the role of </w:t>
            </w:r>
            <w:r w:rsidR="000C6BE2">
              <w:rPr>
                <w:rFonts w:cs="Arial"/>
                <w:bCs/>
                <w:sz w:val="20"/>
                <w:szCs w:val="20"/>
              </w:rPr>
              <w:t>u</w:t>
            </w:r>
            <w:r>
              <w:rPr>
                <w:rFonts w:cs="Arial"/>
                <w:bCs/>
                <w:sz w:val="20"/>
                <w:szCs w:val="20"/>
              </w:rPr>
              <w:t xml:space="preserve">niversities within it was unclear. The Minister had also recently made a speech which had contained negative </w:t>
            </w:r>
            <w:r w:rsidR="000C6BE2">
              <w:rPr>
                <w:rFonts w:cs="Arial"/>
                <w:bCs/>
                <w:sz w:val="20"/>
                <w:szCs w:val="20"/>
              </w:rPr>
              <w:t>sentiments</w:t>
            </w:r>
            <w:r>
              <w:rPr>
                <w:rFonts w:cs="Arial"/>
                <w:bCs/>
                <w:sz w:val="20"/>
                <w:szCs w:val="20"/>
              </w:rPr>
              <w:t xml:space="preserve"> about some aspects of Higher Education, relating to perceived low-value degrees,</w:t>
            </w:r>
            <w:r w:rsidR="000C6BE2">
              <w:rPr>
                <w:rFonts w:cs="Arial"/>
                <w:bCs/>
                <w:sz w:val="20"/>
                <w:szCs w:val="20"/>
              </w:rPr>
              <w:t xml:space="preserve"> grade inflation and free speech</w:t>
            </w:r>
            <w:r>
              <w:rPr>
                <w:rFonts w:cs="Arial"/>
                <w:bCs/>
                <w:sz w:val="20"/>
                <w:szCs w:val="20"/>
              </w:rPr>
              <w:t>.</w:t>
            </w:r>
          </w:p>
          <w:p w14:paraId="05E7FE7C" w14:textId="77777777" w:rsidR="007855F6" w:rsidRDefault="007855F6" w:rsidP="00672DF6">
            <w:pPr>
              <w:rPr>
                <w:rFonts w:cs="Arial"/>
                <w:bCs/>
                <w:sz w:val="20"/>
                <w:szCs w:val="20"/>
              </w:rPr>
            </w:pPr>
          </w:p>
          <w:p w14:paraId="301A7FD7" w14:textId="262DA492" w:rsidR="007855F6" w:rsidRDefault="007855F6" w:rsidP="00672DF6">
            <w:pPr>
              <w:rPr>
                <w:rFonts w:cs="Arial"/>
                <w:bCs/>
                <w:sz w:val="20"/>
                <w:szCs w:val="20"/>
              </w:rPr>
            </w:pPr>
            <w:r>
              <w:rPr>
                <w:rFonts w:cs="Arial"/>
                <w:bCs/>
                <w:sz w:val="20"/>
                <w:szCs w:val="20"/>
              </w:rPr>
              <w:t xml:space="preserve">A new Graduate Destination survey was underway </w:t>
            </w:r>
            <w:r w:rsidR="001C5F98">
              <w:rPr>
                <w:rFonts w:cs="Arial"/>
                <w:bCs/>
                <w:sz w:val="20"/>
                <w:szCs w:val="20"/>
              </w:rPr>
              <w:t xml:space="preserve">for which </w:t>
            </w:r>
            <w:r>
              <w:rPr>
                <w:rFonts w:cs="Arial"/>
                <w:bCs/>
                <w:sz w:val="20"/>
                <w:szCs w:val="20"/>
              </w:rPr>
              <w:t xml:space="preserve">data </w:t>
            </w:r>
            <w:r w:rsidR="001C5F98">
              <w:rPr>
                <w:rFonts w:cs="Arial"/>
                <w:bCs/>
                <w:sz w:val="20"/>
                <w:szCs w:val="20"/>
              </w:rPr>
              <w:t>i</w:t>
            </w:r>
            <w:r>
              <w:rPr>
                <w:rFonts w:cs="Arial"/>
                <w:bCs/>
                <w:sz w:val="20"/>
                <w:szCs w:val="20"/>
              </w:rPr>
              <w:t xml:space="preserve">s now </w:t>
            </w:r>
            <w:r w:rsidR="001C5F98">
              <w:rPr>
                <w:rFonts w:cs="Arial"/>
                <w:bCs/>
                <w:sz w:val="20"/>
                <w:szCs w:val="20"/>
              </w:rPr>
              <w:t xml:space="preserve">to be </w:t>
            </w:r>
            <w:r>
              <w:rPr>
                <w:rFonts w:cs="Arial"/>
                <w:bCs/>
                <w:sz w:val="20"/>
                <w:szCs w:val="20"/>
              </w:rPr>
              <w:t xml:space="preserve">sent and collated independently to provide assurance of its accuracy. This new survey </w:t>
            </w:r>
            <w:r w:rsidR="000C6BE2">
              <w:rPr>
                <w:rFonts w:cs="Arial"/>
                <w:bCs/>
                <w:sz w:val="20"/>
                <w:szCs w:val="20"/>
              </w:rPr>
              <w:t xml:space="preserve">looked as though it </w:t>
            </w:r>
            <w:r>
              <w:rPr>
                <w:rFonts w:cs="Arial"/>
                <w:bCs/>
                <w:sz w:val="20"/>
                <w:szCs w:val="20"/>
              </w:rPr>
              <w:t>show</w:t>
            </w:r>
            <w:r w:rsidR="000C6BE2">
              <w:rPr>
                <w:rFonts w:cs="Arial"/>
                <w:bCs/>
                <w:sz w:val="20"/>
                <w:szCs w:val="20"/>
              </w:rPr>
              <w:t>ed</w:t>
            </w:r>
            <w:r>
              <w:rPr>
                <w:rFonts w:cs="Arial"/>
                <w:bCs/>
                <w:sz w:val="20"/>
                <w:szCs w:val="20"/>
              </w:rPr>
              <w:t xml:space="preserve"> </w:t>
            </w:r>
            <w:r w:rsidR="000C6BE2">
              <w:rPr>
                <w:rFonts w:cs="Arial"/>
                <w:bCs/>
                <w:sz w:val="20"/>
                <w:szCs w:val="20"/>
              </w:rPr>
              <w:t xml:space="preserve">that </w:t>
            </w:r>
            <w:r>
              <w:rPr>
                <w:rFonts w:cs="Arial"/>
                <w:bCs/>
                <w:sz w:val="20"/>
                <w:szCs w:val="20"/>
              </w:rPr>
              <w:t xml:space="preserve">Southampton had improved its graduate outcomes which </w:t>
            </w:r>
            <w:r w:rsidR="000C6BE2">
              <w:rPr>
                <w:rFonts w:cs="Arial"/>
                <w:bCs/>
                <w:sz w:val="20"/>
                <w:szCs w:val="20"/>
              </w:rPr>
              <w:t xml:space="preserve">was </w:t>
            </w:r>
            <w:r w:rsidR="005E700B">
              <w:rPr>
                <w:rFonts w:cs="Arial"/>
                <w:bCs/>
                <w:sz w:val="20"/>
                <w:szCs w:val="20"/>
              </w:rPr>
              <w:t>likely</w:t>
            </w:r>
            <w:r w:rsidR="000C6BE2">
              <w:rPr>
                <w:rFonts w:cs="Arial"/>
                <w:bCs/>
                <w:sz w:val="20"/>
                <w:szCs w:val="20"/>
              </w:rPr>
              <w:t xml:space="preserve"> to have a positive </w:t>
            </w:r>
            <w:r>
              <w:rPr>
                <w:rFonts w:cs="Arial"/>
                <w:bCs/>
                <w:sz w:val="20"/>
                <w:szCs w:val="20"/>
              </w:rPr>
              <w:t xml:space="preserve">impact on league tables. An illustration of this survey was </w:t>
            </w:r>
            <w:r w:rsidR="000C6BE2">
              <w:rPr>
                <w:rFonts w:cs="Arial"/>
                <w:bCs/>
                <w:sz w:val="20"/>
                <w:szCs w:val="20"/>
              </w:rPr>
              <w:t xml:space="preserve">to be scheduled </w:t>
            </w:r>
            <w:r>
              <w:rPr>
                <w:rFonts w:cs="Arial"/>
                <w:bCs/>
                <w:sz w:val="20"/>
                <w:szCs w:val="20"/>
              </w:rPr>
              <w:t>to Council at a future meeting.</w:t>
            </w:r>
          </w:p>
          <w:p w14:paraId="03A715B4" w14:textId="77777777" w:rsidR="007855F6" w:rsidRPr="007855F6" w:rsidRDefault="007855F6" w:rsidP="00672DF6">
            <w:pPr>
              <w:rPr>
                <w:rFonts w:cs="Arial"/>
                <w:b/>
                <w:bCs/>
                <w:sz w:val="20"/>
                <w:szCs w:val="20"/>
              </w:rPr>
            </w:pP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sidRPr="007855F6">
              <w:rPr>
                <w:rFonts w:cs="Arial"/>
                <w:b/>
                <w:bCs/>
                <w:sz w:val="20"/>
                <w:szCs w:val="20"/>
              </w:rPr>
              <w:t>ACTION: Vice-President (Education)</w:t>
            </w:r>
          </w:p>
          <w:p w14:paraId="3BF84F84" w14:textId="77777777" w:rsidR="00F826E3" w:rsidRPr="00833051" w:rsidRDefault="00F826E3" w:rsidP="00AD5329">
            <w:pPr>
              <w:rPr>
                <w:rFonts w:cs="Arial"/>
                <w:bCs/>
                <w:sz w:val="20"/>
                <w:szCs w:val="20"/>
              </w:rPr>
            </w:pPr>
          </w:p>
          <w:p w14:paraId="400F4C7A" w14:textId="77777777" w:rsidR="006500C9" w:rsidRDefault="00C879BE" w:rsidP="000A5D46">
            <w:pPr>
              <w:rPr>
                <w:rFonts w:cs="Arial"/>
                <w:bCs/>
                <w:sz w:val="20"/>
                <w:szCs w:val="20"/>
              </w:rPr>
            </w:pPr>
            <w:r w:rsidRPr="0018203E">
              <w:rPr>
                <w:rFonts w:cs="Arial"/>
                <w:b/>
                <w:sz w:val="20"/>
                <w:szCs w:val="20"/>
              </w:rPr>
              <w:t>RE</w:t>
            </w:r>
            <w:r w:rsidR="00123A55" w:rsidRPr="0018203E">
              <w:rPr>
                <w:rFonts w:cs="Arial"/>
                <w:b/>
                <w:sz w:val="20"/>
                <w:szCs w:val="20"/>
              </w:rPr>
              <w:t>SOLVED</w:t>
            </w:r>
            <w:r w:rsidR="00123A55">
              <w:rPr>
                <w:rFonts w:cs="Arial"/>
                <w:bCs/>
                <w:sz w:val="20"/>
                <w:szCs w:val="20"/>
              </w:rPr>
              <w:t xml:space="preserve"> that</w:t>
            </w:r>
            <w:r w:rsidR="009E7350">
              <w:rPr>
                <w:rFonts w:cs="Arial"/>
                <w:bCs/>
                <w:sz w:val="20"/>
                <w:szCs w:val="20"/>
              </w:rPr>
              <w:t xml:space="preserve"> the update</w:t>
            </w:r>
            <w:r w:rsidR="00651407">
              <w:rPr>
                <w:rFonts w:cs="Arial"/>
                <w:bCs/>
                <w:sz w:val="20"/>
                <w:szCs w:val="20"/>
              </w:rPr>
              <w:t xml:space="preserve"> be noted.</w:t>
            </w:r>
          </w:p>
          <w:p w14:paraId="25F5AFC6" w14:textId="77777777" w:rsidR="009E7350" w:rsidRPr="008028C4" w:rsidRDefault="009E7350" w:rsidP="00DD605D">
            <w:pPr>
              <w:rPr>
                <w:rFonts w:cs="Arial"/>
                <w:bCs/>
                <w:sz w:val="20"/>
                <w:szCs w:val="20"/>
              </w:rPr>
            </w:pPr>
          </w:p>
        </w:tc>
      </w:tr>
      <w:tr w:rsidR="00E9257A" w:rsidRPr="008028C4" w14:paraId="36758653"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09F2B510" w14:textId="77777777" w:rsidR="00E9257A" w:rsidRDefault="00680E6D" w:rsidP="003254F6">
            <w:pPr>
              <w:rPr>
                <w:rFonts w:cs="Arial"/>
                <w:b/>
                <w:sz w:val="20"/>
                <w:szCs w:val="20"/>
              </w:rPr>
            </w:pPr>
            <w:r>
              <w:rPr>
                <w:rFonts w:cs="Arial"/>
                <w:b/>
                <w:sz w:val="20"/>
                <w:szCs w:val="20"/>
              </w:rPr>
              <w:lastRenderedPageBreak/>
              <w:t>107</w:t>
            </w:r>
          </w:p>
        </w:tc>
        <w:tc>
          <w:tcPr>
            <w:tcW w:w="8805" w:type="dxa"/>
            <w:gridSpan w:val="4"/>
            <w:tcBorders>
              <w:top w:val="nil"/>
              <w:left w:val="nil"/>
              <w:bottom w:val="nil"/>
              <w:right w:val="nil"/>
            </w:tcBorders>
            <w:shd w:val="clear" w:color="auto" w:fill="auto"/>
          </w:tcPr>
          <w:p w14:paraId="3F18D378" w14:textId="77777777" w:rsidR="00E9257A" w:rsidRPr="008028C4" w:rsidRDefault="00D107AC" w:rsidP="00073AF7">
            <w:pPr>
              <w:rPr>
                <w:rFonts w:cs="Arial"/>
                <w:b/>
                <w:sz w:val="20"/>
                <w:szCs w:val="20"/>
              </w:rPr>
            </w:pPr>
            <w:r>
              <w:rPr>
                <w:rFonts w:cs="Arial"/>
                <w:b/>
                <w:sz w:val="20"/>
                <w:szCs w:val="20"/>
              </w:rPr>
              <w:t>Report from the President of the Students’ Union</w:t>
            </w:r>
          </w:p>
        </w:tc>
      </w:tr>
      <w:tr w:rsidR="0028528C" w:rsidRPr="008028C4" w14:paraId="21FE45C9" w14:textId="77777777" w:rsidTr="009C55F2">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55AEEEED" w14:textId="77777777" w:rsidR="0028528C" w:rsidRDefault="0028528C" w:rsidP="0028528C">
            <w:pPr>
              <w:rPr>
                <w:rFonts w:cs="Arial"/>
                <w:b/>
                <w:sz w:val="20"/>
                <w:szCs w:val="20"/>
              </w:rPr>
            </w:pPr>
          </w:p>
        </w:tc>
        <w:tc>
          <w:tcPr>
            <w:tcW w:w="8805" w:type="dxa"/>
            <w:gridSpan w:val="4"/>
            <w:tcBorders>
              <w:top w:val="nil"/>
              <w:left w:val="nil"/>
              <w:bottom w:val="nil"/>
              <w:right w:val="nil"/>
            </w:tcBorders>
            <w:shd w:val="clear" w:color="auto" w:fill="auto"/>
          </w:tcPr>
          <w:p w14:paraId="3310CC98" w14:textId="77777777" w:rsidR="0028528C" w:rsidRDefault="0028528C" w:rsidP="0028528C">
            <w:pPr>
              <w:rPr>
                <w:rFonts w:cs="Arial"/>
                <w:bCs/>
                <w:sz w:val="20"/>
                <w:szCs w:val="20"/>
              </w:rPr>
            </w:pPr>
          </w:p>
          <w:p w14:paraId="2685BC89" w14:textId="77777777" w:rsidR="00332523" w:rsidRDefault="0028528C" w:rsidP="009F437D">
            <w:pPr>
              <w:rPr>
                <w:rFonts w:cs="Arial"/>
                <w:bCs/>
                <w:sz w:val="20"/>
                <w:szCs w:val="20"/>
              </w:rPr>
            </w:pPr>
            <w:r>
              <w:rPr>
                <w:rFonts w:cs="Arial"/>
                <w:bCs/>
                <w:sz w:val="20"/>
                <w:szCs w:val="20"/>
              </w:rPr>
              <w:t xml:space="preserve">Council considered </w:t>
            </w:r>
            <w:r w:rsidR="00C94498">
              <w:rPr>
                <w:rFonts w:cs="Arial"/>
                <w:bCs/>
                <w:sz w:val="20"/>
                <w:szCs w:val="20"/>
              </w:rPr>
              <w:t>a report by the Pre</w:t>
            </w:r>
            <w:r w:rsidR="00332523">
              <w:rPr>
                <w:rFonts w:cs="Arial"/>
                <w:bCs/>
                <w:sz w:val="20"/>
                <w:szCs w:val="20"/>
              </w:rPr>
              <w:t xml:space="preserve">sident </w:t>
            </w:r>
            <w:r w:rsidR="00D107AC">
              <w:rPr>
                <w:rFonts w:cs="Arial"/>
                <w:bCs/>
                <w:sz w:val="20"/>
                <w:szCs w:val="20"/>
              </w:rPr>
              <w:t xml:space="preserve">of the Students’ Union </w:t>
            </w:r>
            <w:r w:rsidR="009F2DF0">
              <w:rPr>
                <w:rFonts w:cs="Arial"/>
                <w:bCs/>
                <w:sz w:val="20"/>
                <w:szCs w:val="20"/>
              </w:rPr>
              <w:t xml:space="preserve">which </w:t>
            </w:r>
            <w:r w:rsidR="006500C9">
              <w:rPr>
                <w:rFonts w:cs="Arial"/>
                <w:bCs/>
                <w:sz w:val="20"/>
                <w:szCs w:val="20"/>
              </w:rPr>
              <w:t xml:space="preserve">provided an update on </w:t>
            </w:r>
            <w:r w:rsidR="0094714A">
              <w:rPr>
                <w:rFonts w:cs="Arial"/>
                <w:bCs/>
                <w:sz w:val="20"/>
                <w:szCs w:val="20"/>
              </w:rPr>
              <w:t>recent SUSU activity</w:t>
            </w:r>
            <w:r w:rsidR="00680E6D">
              <w:rPr>
                <w:rFonts w:cs="Arial"/>
                <w:bCs/>
                <w:sz w:val="20"/>
                <w:szCs w:val="20"/>
              </w:rPr>
              <w:t>.</w:t>
            </w:r>
          </w:p>
          <w:p w14:paraId="739E9B06" w14:textId="77777777" w:rsidR="00A16713" w:rsidRDefault="00A16713" w:rsidP="009F437D">
            <w:pPr>
              <w:rPr>
                <w:rFonts w:cs="Arial"/>
                <w:bCs/>
                <w:sz w:val="20"/>
                <w:szCs w:val="20"/>
              </w:rPr>
            </w:pPr>
          </w:p>
          <w:p w14:paraId="26AE2B6B" w14:textId="77777777" w:rsidR="00680E6D" w:rsidRDefault="00A16713" w:rsidP="00680E6D">
            <w:pPr>
              <w:rPr>
                <w:rFonts w:cs="Arial"/>
                <w:bCs/>
                <w:sz w:val="20"/>
                <w:szCs w:val="20"/>
              </w:rPr>
            </w:pPr>
            <w:r>
              <w:rPr>
                <w:rFonts w:cs="Arial"/>
                <w:bCs/>
                <w:sz w:val="20"/>
                <w:szCs w:val="20"/>
              </w:rPr>
              <w:t>The Pres</w:t>
            </w:r>
            <w:r w:rsidR="00680E6D">
              <w:rPr>
                <w:rFonts w:cs="Arial"/>
                <w:bCs/>
                <w:sz w:val="20"/>
                <w:szCs w:val="20"/>
              </w:rPr>
              <w:t>ident highlighted:</w:t>
            </w:r>
          </w:p>
          <w:p w14:paraId="02C473A1" w14:textId="77777777" w:rsidR="00680E6D" w:rsidRDefault="00680E6D" w:rsidP="00680E6D">
            <w:pPr>
              <w:rPr>
                <w:rFonts w:cs="Arial"/>
                <w:bCs/>
                <w:sz w:val="20"/>
                <w:szCs w:val="20"/>
              </w:rPr>
            </w:pPr>
          </w:p>
          <w:p w14:paraId="45948D1A" w14:textId="77777777" w:rsidR="00680E6D" w:rsidRPr="00680E6D" w:rsidRDefault="00680E6D" w:rsidP="00FE7CCD">
            <w:pPr>
              <w:pStyle w:val="ListParagraph"/>
              <w:numPr>
                <w:ilvl w:val="0"/>
                <w:numId w:val="6"/>
              </w:numPr>
              <w:rPr>
                <w:rFonts w:cs="Arial"/>
                <w:b/>
                <w:bCs/>
                <w:sz w:val="20"/>
                <w:szCs w:val="20"/>
              </w:rPr>
            </w:pPr>
            <w:r>
              <w:rPr>
                <w:rFonts w:cs="Arial"/>
                <w:bCs/>
                <w:sz w:val="20"/>
                <w:szCs w:val="20"/>
              </w:rPr>
              <w:t xml:space="preserve">that </w:t>
            </w:r>
            <w:r w:rsidR="00A16713" w:rsidRPr="00680E6D">
              <w:rPr>
                <w:rFonts w:cs="Arial"/>
                <w:bCs/>
                <w:sz w:val="20"/>
                <w:szCs w:val="20"/>
              </w:rPr>
              <w:t>the</w:t>
            </w:r>
            <w:r w:rsidRPr="00680E6D">
              <w:rPr>
                <w:rFonts w:cs="Arial"/>
                <w:bCs/>
                <w:sz w:val="20"/>
                <w:szCs w:val="20"/>
              </w:rPr>
              <w:t xml:space="preserve"> meeting to discuss tuition fees dur</w:t>
            </w:r>
            <w:r>
              <w:rPr>
                <w:rFonts w:cs="Arial"/>
                <w:bCs/>
                <w:sz w:val="20"/>
                <w:szCs w:val="20"/>
              </w:rPr>
              <w:t>ing the crisis had been useful;</w:t>
            </w:r>
          </w:p>
          <w:p w14:paraId="6EF5FF54" w14:textId="77777777" w:rsidR="00680E6D" w:rsidRPr="00680E6D" w:rsidRDefault="00680E6D" w:rsidP="00FE7CCD">
            <w:pPr>
              <w:pStyle w:val="ListParagraph"/>
              <w:numPr>
                <w:ilvl w:val="0"/>
                <w:numId w:val="6"/>
              </w:numPr>
              <w:rPr>
                <w:rFonts w:cs="Arial"/>
                <w:b/>
                <w:bCs/>
                <w:sz w:val="20"/>
                <w:szCs w:val="20"/>
              </w:rPr>
            </w:pPr>
            <w:r>
              <w:rPr>
                <w:rFonts w:cs="Arial"/>
                <w:bCs/>
                <w:sz w:val="20"/>
                <w:szCs w:val="20"/>
              </w:rPr>
              <w:t>the arrival of the new SUSU CEO;</w:t>
            </w:r>
          </w:p>
          <w:p w14:paraId="6E512509" w14:textId="77777777" w:rsidR="00680E6D" w:rsidRPr="00680E6D" w:rsidRDefault="00680E6D" w:rsidP="00FE7CCD">
            <w:pPr>
              <w:pStyle w:val="ListParagraph"/>
              <w:numPr>
                <w:ilvl w:val="0"/>
                <w:numId w:val="6"/>
              </w:numPr>
              <w:rPr>
                <w:rFonts w:cs="Arial"/>
                <w:b/>
                <w:bCs/>
                <w:sz w:val="20"/>
                <w:szCs w:val="20"/>
              </w:rPr>
            </w:pPr>
            <w:r>
              <w:rPr>
                <w:rFonts w:cs="Arial"/>
                <w:bCs/>
                <w:sz w:val="20"/>
                <w:szCs w:val="20"/>
              </w:rPr>
              <w:t xml:space="preserve">Sabbatical </w:t>
            </w:r>
            <w:r w:rsidR="000C6BE2">
              <w:rPr>
                <w:rFonts w:cs="Arial"/>
                <w:bCs/>
                <w:sz w:val="20"/>
                <w:szCs w:val="20"/>
              </w:rPr>
              <w:t xml:space="preserve">Officer </w:t>
            </w:r>
            <w:r>
              <w:rPr>
                <w:rFonts w:cs="Arial"/>
                <w:bCs/>
                <w:sz w:val="20"/>
                <w:szCs w:val="20"/>
              </w:rPr>
              <w:t>by-elections</w:t>
            </w:r>
          </w:p>
          <w:p w14:paraId="3A06BD49" w14:textId="77777777" w:rsidR="00680E6D" w:rsidRDefault="00680E6D" w:rsidP="00680E6D">
            <w:pPr>
              <w:rPr>
                <w:rFonts w:cs="Arial"/>
                <w:b/>
                <w:bCs/>
                <w:sz w:val="20"/>
                <w:szCs w:val="20"/>
              </w:rPr>
            </w:pPr>
          </w:p>
          <w:p w14:paraId="2F986C77" w14:textId="5F68515B" w:rsidR="00680E6D" w:rsidRPr="00680E6D" w:rsidRDefault="00680E6D" w:rsidP="00680E6D">
            <w:pPr>
              <w:rPr>
                <w:rFonts w:cs="Arial"/>
                <w:bCs/>
                <w:sz w:val="20"/>
                <w:szCs w:val="20"/>
              </w:rPr>
            </w:pPr>
            <w:r>
              <w:rPr>
                <w:rFonts w:cs="Arial"/>
                <w:bCs/>
                <w:sz w:val="20"/>
                <w:szCs w:val="20"/>
              </w:rPr>
              <w:t>In response to queries, the Vice</w:t>
            </w:r>
            <w:r w:rsidR="000C6BE2">
              <w:rPr>
                <w:rFonts w:cs="Arial"/>
                <w:bCs/>
                <w:sz w:val="20"/>
                <w:szCs w:val="20"/>
              </w:rPr>
              <w:t>-</w:t>
            </w:r>
            <w:r>
              <w:rPr>
                <w:rFonts w:cs="Arial"/>
                <w:bCs/>
                <w:sz w:val="20"/>
                <w:szCs w:val="20"/>
              </w:rPr>
              <w:t xml:space="preserve">Chancellor undertook to investigate the continuation of Online Learning Grants for students in the coming academic year and progress on appointing a Sexual Violence Advisor. </w:t>
            </w:r>
            <w:r>
              <w:rPr>
                <w:rFonts w:cs="Arial"/>
                <w:bCs/>
                <w:sz w:val="20"/>
                <w:szCs w:val="20"/>
              </w:rPr>
              <w:tab/>
            </w:r>
            <w:r>
              <w:rPr>
                <w:rFonts w:cs="Arial"/>
                <w:bCs/>
                <w:sz w:val="20"/>
                <w:szCs w:val="20"/>
              </w:rPr>
              <w:tab/>
            </w:r>
            <w:r>
              <w:rPr>
                <w:rFonts w:cs="Arial"/>
                <w:bCs/>
                <w:sz w:val="20"/>
                <w:szCs w:val="20"/>
              </w:rPr>
              <w:tab/>
            </w:r>
            <w:r w:rsidRPr="00680E6D">
              <w:rPr>
                <w:rFonts w:cs="Arial"/>
                <w:b/>
                <w:bCs/>
                <w:sz w:val="20"/>
                <w:szCs w:val="20"/>
              </w:rPr>
              <w:t>ACTION: Vice</w:t>
            </w:r>
            <w:r w:rsidR="000C6BE2">
              <w:rPr>
                <w:rFonts w:cs="Arial"/>
                <w:b/>
                <w:bCs/>
                <w:sz w:val="20"/>
                <w:szCs w:val="20"/>
              </w:rPr>
              <w:t>-</w:t>
            </w:r>
            <w:r w:rsidRPr="00680E6D">
              <w:rPr>
                <w:rFonts w:cs="Arial"/>
                <w:b/>
                <w:bCs/>
                <w:sz w:val="20"/>
                <w:szCs w:val="20"/>
              </w:rPr>
              <w:t>Chancellor</w:t>
            </w:r>
          </w:p>
          <w:p w14:paraId="0585EDFF" w14:textId="77777777" w:rsidR="00A10E97" w:rsidRDefault="00A10E97" w:rsidP="00680E6D">
            <w:pPr>
              <w:rPr>
                <w:rFonts w:cs="Arial"/>
                <w:b/>
                <w:bCs/>
                <w:sz w:val="20"/>
                <w:szCs w:val="20"/>
              </w:rPr>
            </w:pPr>
          </w:p>
          <w:p w14:paraId="7E07FE2A" w14:textId="77777777" w:rsidR="00180767" w:rsidRPr="00A10E97" w:rsidRDefault="00180767" w:rsidP="00332523">
            <w:pPr>
              <w:rPr>
                <w:rFonts w:cs="Arial"/>
                <w:b/>
                <w:bCs/>
                <w:sz w:val="20"/>
                <w:szCs w:val="20"/>
              </w:rPr>
            </w:pPr>
          </w:p>
          <w:p w14:paraId="13AE89BF" w14:textId="77777777" w:rsidR="00DB2BE1" w:rsidRDefault="00332523" w:rsidP="00332523">
            <w:pPr>
              <w:rPr>
                <w:rFonts w:cs="Arial"/>
                <w:bCs/>
                <w:sz w:val="20"/>
                <w:szCs w:val="20"/>
              </w:rPr>
            </w:pPr>
            <w:r w:rsidRPr="00332523">
              <w:rPr>
                <w:rFonts w:cs="Arial"/>
                <w:b/>
                <w:bCs/>
                <w:sz w:val="20"/>
                <w:szCs w:val="20"/>
              </w:rPr>
              <w:t>RESOLVED</w:t>
            </w:r>
            <w:r>
              <w:rPr>
                <w:rFonts w:cs="Arial"/>
                <w:bCs/>
                <w:sz w:val="20"/>
                <w:szCs w:val="20"/>
              </w:rPr>
              <w:t xml:space="preserve"> that the </w:t>
            </w:r>
            <w:r w:rsidR="009F2DF0">
              <w:rPr>
                <w:rFonts w:cs="Arial"/>
                <w:bCs/>
                <w:sz w:val="20"/>
                <w:szCs w:val="20"/>
              </w:rPr>
              <w:t>report be noted.</w:t>
            </w:r>
          </w:p>
          <w:p w14:paraId="29E71ADC" w14:textId="77777777" w:rsidR="00C94498" w:rsidRPr="004A1ECD" w:rsidRDefault="00133B73" w:rsidP="00332523">
            <w:pPr>
              <w:rPr>
                <w:rFonts w:cs="Arial"/>
                <w:b/>
                <w:sz w:val="20"/>
                <w:szCs w:val="20"/>
              </w:rPr>
            </w:pPr>
            <w:r>
              <w:rPr>
                <w:rFonts w:cs="Arial"/>
                <w:bCs/>
                <w:sz w:val="20"/>
                <w:szCs w:val="20"/>
              </w:rPr>
              <w:tab/>
            </w:r>
            <w:r>
              <w:rPr>
                <w:rFonts w:cs="Arial"/>
                <w:bCs/>
                <w:sz w:val="20"/>
                <w:szCs w:val="20"/>
              </w:rPr>
              <w:tab/>
            </w:r>
            <w:r>
              <w:rPr>
                <w:rFonts w:cs="Arial"/>
                <w:bCs/>
                <w:sz w:val="20"/>
                <w:szCs w:val="20"/>
              </w:rPr>
              <w:tab/>
            </w:r>
          </w:p>
        </w:tc>
      </w:tr>
      <w:tr w:rsidR="0056352E" w:rsidRPr="00C879BE" w14:paraId="36C063B7"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32C7FE05" w14:textId="77777777" w:rsidR="0056352E" w:rsidRDefault="00680E6D" w:rsidP="0056352E">
            <w:pPr>
              <w:rPr>
                <w:rFonts w:cs="Arial"/>
                <w:b/>
                <w:sz w:val="20"/>
                <w:szCs w:val="20"/>
              </w:rPr>
            </w:pPr>
            <w:r>
              <w:rPr>
                <w:rFonts w:cs="Arial"/>
                <w:b/>
                <w:sz w:val="20"/>
                <w:szCs w:val="20"/>
              </w:rPr>
              <w:t>108</w:t>
            </w:r>
          </w:p>
        </w:tc>
        <w:tc>
          <w:tcPr>
            <w:tcW w:w="8805" w:type="dxa"/>
            <w:gridSpan w:val="4"/>
            <w:tcBorders>
              <w:top w:val="nil"/>
              <w:left w:val="nil"/>
              <w:bottom w:val="nil"/>
              <w:right w:val="nil"/>
            </w:tcBorders>
            <w:shd w:val="clear" w:color="auto" w:fill="auto"/>
          </w:tcPr>
          <w:p w14:paraId="3D68E307" w14:textId="77777777" w:rsidR="0056352E" w:rsidRDefault="00680E6D" w:rsidP="0056352E">
            <w:pPr>
              <w:rPr>
                <w:rFonts w:cs="Arial"/>
                <w:b/>
                <w:sz w:val="20"/>
                <w:szCs w:val="20"/>
              </w:rPr>
            </w:pPr>
            <w:r>
              <w:rPr>
                <w:rFonts w:cs="Arial"/>
                <w:b/>
                <w:sz w:val="20"/>
                <w:szCs w:val="20"/>
              </w:rPr>
              <w:t>Bridging Strategy</w:t>
            </w:r>
          </w:p>
          <w:p w14:paraId="7BDA5BE1" w14:textId="77777777" w:rsidR="0056352E" w:rsidRDefault="0056352E" w:rsidP="0056352E">
            <w:pPr>
              <w:rPr>
                <w:rFonts w:cs="Arial"/>
                <w:b/>
                <w:sz w:val="20"/>
                <w:szCs w:val="20"/>
              </w:rPr>
            </w:pPr>
          </w:p>
          <w:p w14:paraId="0303CCDD" w14:textId="77777777" w:rsidR="0056352E" w:rsidRDefault="00680E6D" w:rsidP="00031F9E">
            <w:pPr>
              <w:rPr>
                <w:rFonts w:cs="Arial"/>
                <w:sz w:val="20"/>
                <w:szCs w:val="20"/>
              </w:rPr>
            </w:pPr>
            <w:r>
              <w:rPr>
                <w:rFonts w:cs="Arial"/>
                <w:sz w:val="20"/>
                <w:szCs w:val="20"/>
              </w:rPr>
              <w:t>Council considered a report by the University Executive Board which set out a bridging strategy.</w:t>
            </w:r>
          </w:p>
          <w:p w14:paraId="43D6F328" w14:textId="77777777" w:rsidR="00680E6D" w:rsidRDefault="00680E6D" w:rsidP="00031F9E">
            <w:pPr>
              <w:rPr>
                <w:rFonts w:cs="Arial"/>
                <w:sz w:val="20"/>
                <w:szCs w:val="20"/>
              </w:rPr>
            </w:pPr>
          </w:p>
          <w:p w14:paraId="283B1A34" w14:textId="77777777" w:rsidR="00680E6D" w:rsidRDefault="00680E6D" w:rsidP="00031F9E">
            <w:pPr>
              <w:rPr>
                <w:rFonts w:cs="Arial"/>
                <w:sz w:val="20"/>
                <w:szCs w:val="20"/>
              </w:rPr>
            </w:pPr>
            <w:r>
              <w:rPr>
                <w:rFonts w:cs="Arial"/>
                <w:sz w:val="20"/>
                <w:szCs w:val="20"/>
              </w:rPr>
              <w:t>The strategy was</w:t>
            </w:r>
            <w:r w:rsidRPr="00680E6D">
              <w:rPr>
                <w:rFonts w:cs="Arial"/>
                <w:sz w:val="20"/>
                <w:szCs w:val="20"/>
              </w:rPr>
              <w:t xml:space="preserve"> a response to </w:t>
            </w:r>
            <w:r w:rsidR="001C5F98">
              <w:rPr>
                <w:rFonts w:cs="Arial"/>
                <w:sz w:val="20"/>
                <w:szCs w:val="20"/>
              </w:rPr>
              <w:t xml:space="preserve">the need to refresh the University’s strategy in the context of </w:t>
            </w:r>
            <w:r w:rsidRPr="00680E6D">
              <w:rPr>
                <w:rFonts w:cs="Arial"/>
                <w:sz w:val="20"/>
                <w:szCs w:val="20"/>
              </w:rPr>
              <w:t>the health, economic and social</w:t>
            </w:r>
            <w:r>
              <w:rPr>
                <w:rFonts w:cs="Arial"/>
                <w:sz w:val="20"/>
                <w:szCs w:val="20"/>
              </w:rPr>
              <w:t xml:space="preserve"> impacts of Covid-19. It conveyed</w:t>
            </w:r>
            <w:r w:rsidRPr="00680E6D">
              <w:rPr>
                <w:rFonts w:cs="Arial"/>
                <w:sz w:val="20"/>
                <w:szCs w:val="20"/>
              </w:rPr>
              <w:t xml:space="preserve"> a message </w:t>
            </w:r>
            <w:r w:rsidRPr="00680E6D">
              <w:rPr>
                <w:rFonts w:cs="Arial"/>
                <w:sz w:val="20"/>
                <w:szCs w:val="20"/>
              </w:rPr>
              <w:lastRenderedPageBreak/>
              <w:t>of the importa</w:t>
            </w:r>
            <w:r>
              <w:rPr>
                <w:rFonts w:cs="Arial"/>
                <w:sz w:val="20"/>
                <w:szCs w:val="20"/>
              </w:rPr>
              <w:t>nce of holding onto what mattered</w:t>
            </w:r>
            <w:r w:rsidRPr="00680E6D">
              <w:rPr>
                <w:rFonts w:cs="Arial"/>
                <w:sz w:val="20"/>
                <w:szCs w:val="20"/>
              </w:rPr>
              <w:t xml:space="preserve"> most to the University</w:t>
            </w:r>
            <w:r>
              <w:rPr>
                <w:rFonts w:cs="Arial"/>
                <w:sz w:val="20"/>
                <w:szCs w:val="20"/>
              </w:rPr>
              <w:t>, drawing on and drawing out the</w:t>
            </w:r>
            <w:r w:rsidRPr="00680E6D">
              <w:rPr>
                <w:rFonts w:cs="Arial"/>
                <w:sz w:val="20"/>
                <w:szCs w:val="20"/>
              </w:rPr>
              <w:t xml:space="preserve"> community spirit and committing to keep moving forward</w:t>
            </w:r>
            <w:r>
              <w:rPr>
                <w:rFonts w:cs="Arial"/>
                <w:sz w:val="20"/>
                <w:szCs w:val="20"/>
              </w:rPr>
              <w:t>. Accordingly, it both reaffirmed</w:t>
            </w:r>
            <w:r w:rsidRPr="00680E6D">
              <w:rPr>
                <w:rFonts w:cs="Arial"/>
                <w:sz w:val="20"/>
                <w:szCs w:val="20"/>
              </w:rPr>
              <w:t xml:space="preserve"> the University’s enduring mission a</w:t>
            </w:r>
            <w:r>
              <w:rPr>
                <w:rFonts w:cs="Arial"/>
                <w:sz w:val="20"/>
                <w:szCs w:val="20"/>
              </w:rPr>
              <w:t>nd long-term objectives and set</w:t>
            </w:r>
            <w:r w:rsidRPr="00680E6D">
              <w:rPr>
                <w:rFonts w:cs="Arial"/>
                <w:sz w:val="20"/>
                <w:szCs w:val="20"/>
              </w:rPr>
              <w:t xml:space="preserve"> out guiding principles to inform decisions and actions over the n</w:t>
            </w:r>
            <w:r>
              <w:rPr>
                <w:rFonts w:cs="Arial"/>
                <w:sz w:val="20"/>
                <w:szCs w:val="20"/>
              </w:rPr>
              <w:t>ext 12-18 months. The strategy wa</w:t>
            </w:r>
            <w:r w:rsidRPr="00680E6D">
              <w:rPr>
                <w:rFonts w:cs="Arial"/>
                <w:sz w:val="20"/>
                <w:szCs w:val="20"/>
              </w:rPr>
              <w:t xml:space="preserve">s deliberately not a route map as a more </w:t>
            </w:r>
            <w:r>
              <w:rPr>
                <w:rFonts w:cs="Arial"/>
                <w:sz w:val="20"/>
                <w:szCs w:val="20"/>
              </w:rPr>
              <w:t>flexible approach wa</w:t>
            </w:r>
            <w:r w:rsidRPr="00680E6D">
              <w:rPr>
                <w:rFonts w:cs="Arial"/>
                <w:sz w:val="20"/>
                <w:szCs w:val="20"/>
              </w:rPr>
              <w:t>s needed in the face of many uncertainties</w:t>
            </w:r>
            <w:r>
              <w:rPr>
                <w:rFonts w:cs="Arial"/>
                <w:sz w:val="20"/>
                <w:szCs w:val="20"/>
              </w:rPr>
              <w:t>; the principle-based approach wa</w:t>
            </w:r>
            <w:r w:rsidRPr="00680E6D">
              <w:rPr>
                <w:rFonts w:cs="Arial"/>
                <w:sz w:val="20"/>
                <w:szCs w:val="20"/>
              </w:rPr>
              <w:t>s designed to support coherent</w:t>
            </w:r>
            <w:r>
              <w:rPr>
                <w:rFonts w:cs="Arial"/>
                <w:sz w:val="20"/>
                <w:szCs w:val="20"/>
              </w:rPr>
              <w:t>, agile decision making. It would</w:t>
            </w:r>
            <w:r w:rsidRPr="00680E6D">
              <w:rPr>
                <w:rFonts w:cs="Arial"/>
                <w:sz w:val="20"/>
                <w:szCs w:val="20"/>
              </w:rPr>
              <w:t xml:space="preserve"> be important to know how the University is faring both over the course of this short-term strategy a</w:t>
            </w:r>
            <w:r>
              <w:rPr>
                <w:rFonts w:cs="Arial"/>
                <w:sz w:val="20"/>
                <w:szCs w:val="20"/>
              </w:rPr>
              <w:t>nd in the longer term. Council wa</w:t>
            </w:r>
            <w:r w:rsidRPr="00680E6D">
              <w:rPr>
                <w:rFonts w:cs="Arial"/>
                <w:sz w:val="20"/>
                <w:szCs w:val="20"/>
              </w:rPr>
              <w:t xml:space="preserve">s therefore invited to consider </w:t>
            </w:r>
            <w:r>
              <w:rPr>
                <w:rFonts w:cs="Arial"/>
                <w:sz w:val="20"/>
                <w:szCs w:val="20"/>
              </w:rPr>
              <w:t>the draft strategy</w:t>
            </w:r>
            <w:r w:rsidRPr="00680E6D">
              <w:rPr>
                <w:rFonts w:cs="Arial"/>
                <w:sz w:val="20"/>
                <w:szCs w:val="20"/>
              </w:rPr>
              <w:t xml:space="preserve"> and Key Performance</w:t>
            </w:r>
            <w:r>
              <w:rPr>
                <w:rFonts w:cs="Arial"/>
                <w:sz w:val="20"/>
                <w:szCs w:val="20"/>
              </w:rPr>
              <w:t xml:space="preserve"> Indicators (KPIs)</w:t>
            </w:r>
            <w:r w:rsidRPr="00680E6D">
              <w:rPr>
                <w:rFonts w:cs="Arial"/>
                <w:sz w:val="20"/>
                <w:szCs w:val="20"/>
              </w:rPr>
              <w:t>. Subject to Council’s</w:t>
            </w:r>
            <w:r>
              <w:rPr>
                <w:rFonts w:cs="Arial"/>
                <w:sz w:val="20"/>
                <w:szCs w:val="20"/>
              </w:rPr>
              <w:t xml:space="preserve"> endorsement, the strategy would </w:t>
            </w:r>
            <w:r w:rsidRPr="00680E6D">
              <w:rPr>
                <w:rFonts w:cs="Arial"/>
                <w:sz w:val="20"/>
                <w:szCs w:val="20"/>
              </w:rPr>
              <w:t>be launched to the University community in July.</w:t>
            </w:r>
          </w:p>
          <w:p w14:paraId="7E69111B" w14:textId="77777777" w:rsidR="00806451" w:rsidRDefault="00806451" w:rsidP="00031F9E">
            <w:pPr>
              <w:rPr>
                <w:rFonts w:cs="Arial"/>
                <w:sz w:val="20"/>
                <w:szCs w:val="20"/>
              </w:rPr>
            </w:pPr>
          </w:p>
          <w:p w14:paraId="1FC23F4F" w14:textId="400607A5" w:rsidR="00806451" w:rsidRDefault="00806451" w:rsidP="00031F9E">
            <w:pPr>
              <w:rPr>
                <w:rFonts w:cs="Arial"/>
                <w:sz w:val="20"/>
                <w:szCs w:val="20"/>
              </w:rPr>
            </w:pPr>
            <w:r>
              <w:rPr>
                <w:rFonts w:cs="Arial"/>
                <w:sz w:val="20"/>
                <w:szCs w:val="20"/>
              </w:rPr>
              <w:t>The importance of making the strategy accessible to all was highlighted, with main principles drawn out and a comprehensive communications plan agreed.</w:t>
            </w:r>
          </w:p>
          <w:p w14:paraId="7A036EF8" w14:textId="77777777" w:rsidR="00806451" w:rsidRDefault="00806451" w:rsidP="00031F9E">
            <w:pPr>
              <w:rPr>
                <w:rFonts w:cs="Arial"/>
                <w:sz w:val="20"/>
                <w:szCs w:val="20"/>
              </w:rPr>
            </w:pPr>
          </w:p>
          <w:p w14:paraId="70C525EA" w14:textId="77777777" w:rsidR="00806451" w:rsidRPr="00680E6D" w:rsidRDefault="00806451" w:rsidP="00031F9E">
            <w:pPr>
              <w:rPr>
                <w:rFonts w:cs="Arial"/>
                <w:sz w:val="20"/>
                <w:szCs w:val="20"/>
              </w:rPr>
            </w:pPr>
            <w:r>
              <w:rPr>
                <w:rFonts w:cs="Arial"/>
                <w:sz w:val="20"/>
                <w:szCs w:val="20"/>
              </w:rPr>
              <w:t>It was agreed that the longer</w:t>
            </w:r>
            <w:r w:rsidR="001C5F98">
              <w:rPr>
                <w:rFonts w:cs="Arial"/>
                <w:sz w:val="20"/>
                <w:szCs w:val="20"/>
              </w:rPr>
              <w:t>-</w:t>
            </w:r>
            <w:r>
              <w:rPr>
                <w:rFonts w:cs="Arial"/>
                <w:sz w:val="20"/>
                <w:szCs w:val="20"/>
              </w:rPr>
              <w:t>term KPIs would not be published at the current time and that the short</w:t>
            </w:r>
            <w:r w:rsidR="001C5F98">
              <w:rPr>
                <w:rFonts w:cs="Arial"/>
                <w:sz w:val="20"/>
                <w:szCs w:val="20"/>
              </w:rPr>
              <w:t>-</w:t>
            </w:r>
            <w:r>
              <w:rPr>
                <w:rFonts w:cs="Arial"/>
                <w:sz w:val="20"/>
                <w:szCs w:val="20"/>
              </w:rPr>
              <w:t xml:space="preserve">term KPIs would be included in the published strategy. Once </w:t>
            </w:r>
            <w:proofErr w:type="gramStart"/>
            <w:r>
              <w:rPr>
                <w:rFonts w:cs="Arial"/>
                <w:sz w:val="20"/>
                <w:szCs w:val="20"/>
              </w:rPr>
              <w:t>all of</w:t>
            </w:r>
            <w:proofErr w:type="gramEnd"/>
            <w:r>
              <w:rPr>
                <w:rFonts w:cs="Arial"/>
                <w:sz w:val="20"/>
                <w:szCs w:val="20"/>
              </w:rPr>
              <w:t xml:space="preserve"> the KPIs had been consolidated over time they would be brought back to Council for consideration and monitoring. A deep dive session at a future point was suggested.</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806451">
              <w:rPr>
                <w:rFonts w:cs="Arial"/>
                <w:b/>
                <w:sz w:val="20"/>
                <w:szCs w:val="20"/>
              </w:rPr>
              <w:t>ACTION: Chief Operating Officer</w:t>
            </w:r>
          </w:p>
          <w:p w14:paraId="564C6BBB" w14:textId="77777777" w:rsidR="00031F9E" w:rsidRDefault="00031F9E" w:rsidP="00031F9E">
            <w:pPr>
              <w:rPr>
                <w:rFonts w:cs="Arial"/>
                <w:sz w:val="20"/>
                <w:szCs w:val="20"/>
              </w:rPr>
            </w:pPr>
          </w:p>
          <w:p w14:paraId="4CCDCA29" w14:textId="24BC91A6" w:rsidR="00031F9E" w:rsidRDefault="00806451" w:rsidP="00031F9E">
            <w:pPr>
              <w:rPr>
                <w:rFonts w:cs="Arial"/>
                <w:sz w:val="20"/>
                <w:szCs w:val="20"/>
              </w:rPr>
            </w:pPr>
            <w:r w:rsidRPr="00806451">
              <w:rPr>
                <w:rFonts w:cs="Arial"/>
                <w:b/>
                <w:sz w:val="20"/>
                <w:szCs w:val="20"/>
              </w:rPr>
              <w:t>RESOLVED</w:t>
            </w:r>
            <w:r>
              <w:rPr>
                <w:rFonts w:cs="Arial"/>
                <w:sz w:val="20"/>
                <w:szCs w:val="20"/>
              </w:rPr>
              <w:t xml:space="preserve"> that the Bridging Strategy and accompanying KPIs</w:t>
            </w:r>
            <w:r w:rsidR="00E52ED3">
              <w:rPr>
                <w:rFonts w:cs="Arial"/>
                <w:sz w:val="20"/>
                <w:szCs w:val="20"/>
              </w:rPr>
              <w:t xml:space="preserve"> at headline</w:t>
            </w:r>
            <w:r>
              <w:rPr>
                <w:rFonts w:cs="Arial"/>
                <w:sz w:val="20"/>
                <w:szCs w:val="20"/>
              </w:rPr>
              <w:t xml:space="preserve"> be endorsed</w:t>
            </w:r>
            <w:r w:rsidR="00E52ED3">
              <w:rPr>
                <w:rFonts w:cs="Arial"/>
                <w:sz w:val="20"/>
                <w:szCs w:val="20"/>
              </w:rPr>
              <w:t xml:space="preserve">, with the </w:t>
            </w:r>
            <w:r w:rsidR="0045345D">
              <w:rPr>
                <w:rFonts w:cs="Arial"/>
                <w:sz w:val="20"/>
                <w:szCs w:val="20"/>
              </w:rPr>
              <w:t xml:space="preserve">suggested </w:t>
            </w:r>
            <w:r w:rsidR="005E700B">
              <w:rPr>
                <w:rFonts w:cs="Arial"/>
                <w:sz w:val="20"/>
                <w:szCs w:val="20"/>
              </w:rPr>
              <w:t>target</w:t>
            </w:r>
            <w:r w:rsidR="0045345D">
              <w:rPr>
                <w:rFonts w:cs="Arial"/>
                <w:sz w:val="20"/>
                <w:szCs w:val="20"/>
              </w:rPr>
              <w:t xml:space="preserve"> KPI values brought back in September</w:t>
            </w:r>
            <w:r>
              <w:rPr>
                <w:rFonts w:cs="Arial"/>
                <w:sz w:val="20"/>
                <w:szCs w:val="20"/>
              </w:rPr>
              <w:t>.</w:t>
            </w:r>
          </w:p>
          <w:p w14:paraId="0DD16FF3" w14:textId="77777777" w:rsidR="00031F9E" w:rsidRPr="00031F9E" w:rsidRDefault="00031F9E" w:rsidP="00031F9E">
            <w:pPr>
              <w:rPr>
                <w:rFonts w:cs="Arial"/>
                <w:sz w:val="20"/>
                <w:szCs w:val="20"/>
              </w:rPr>
            </w:pPr>
          </w:p>
        </w:tc>
      </w:tr>
      <w:tr w:rsidR="0056352E" w:rsidRPr="00C879BE" w14:paraId="18DD33AA"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0DBE444B" w14:textId="77777777" w:rsidR="0056352E" w:rsidRDefault="00BF5AD6" w:rsidP="0056352E">
            <w:pPr>
              <w:rPr>
                <w:rFonts w:cs="Arial"/>
                <w:b/>
                <w:sz w:val="20"/>
                <w:szCs w:val="20"/>
              </w:rPr>
            </w:pPr>
            <w:r>
              <w:rPr>
                <w:rFonts w:cs="Arial"/>
                <w:b/>
                <w:sz w:val="20"/>
                <w:szCs w:val="20"/>
              </w:rPr>
              <w:lastRenderedPageBreak/>
              <w:t>109</w:t>
            </w:r>
          </w:p>
        </w:tc>
        <w:tc>
          <w:tcPr>
            <w:tcW w:w="8805" w:type="dxa"/>
            <w:gridSpan w:val="4"/>
            <w:tcBorders>
              <w:top w:val="nil"/>
              <w:left w:val="nil"/>
              <w:bottom w:val="nil"/>
              <w:right w:val="nil"/>
            </w:tcBorders>
            <w:shd w:val="clear" w:color="auto" w:fill="auto"/>
          </w:tcPr>
          <w:p w14:paraId="574E986F" w14:textId="77777777" w:rsidR="0056352E" w:rsidRPr="00837904" w:rsidRDefault="00BF5AD6" w:rsidP="0056352E">
            <w:pPr>
              <w:rPr>
                <w:rFonts w:cs="Arial"/>
                <w:b/>
                <w:sz w:val="20"/>
                <w:szCs w:val="20"/>
              </w:rPr>
            </w:pPr>
            <w:r>
              <w:rPr>
                <w:rFonts w:cs="Arial"/>
                <w:b/>
                <w:sz w:val="20"/>
                <w:szCs w:val="20"/>
              </w:rPr>
              <w:t>Business Planning</w:t>
            </w:r>
          </w:p>
          <w:p w14:paraId="7D3AB416" w14:textId="77777777" w:rsidR="0056352E" w:rsidRPr="00837904" w:rsidRDefault="0056352E" w:rsidP="0056352E">
            <w:pPr>
              <w:rPr>
                <w:rFonts w:cs="Arial"/>
                <w:b/>
                <w:sz w:val="20"/>
                <w:szCs w:val="20"/>
              </w:rPr>
            </w:pPr>
          </w:p>
          <w:p w14:paraId="501BA10F" w14:textId="77777777" w:rsidR="00EE7137" w:rsidRDefault="0056352E" w:rsidP="0056352E">
            <w:pPr>
              <w:rPr>
                <w:rFonts w:cs="Arial"/>
                <w:sz w:val="20"/>
                <w:szCs w:val="20"/>
              </w:rPr>
            </w:pPr>
            <w:r w:rsidRPr="00837904">
              <w:rPr>
                <w:rFonts w:cs="Arial"/>
                <w:sz w:val="20"/>
                <w:szCs w:val="20"/>
              </w:rPr>
              <w:t xml:space="preserve">Council </w:t>
            </w:r>
            <w:r w:rsidR="00BF5AD6">
              <w:rPr>
                <w:rFonts w:cs="Arial"/>
                <w:sz w:val="20"/>
                <w:szCs w:val="20"/>
              </w:rPr>
              <w:t>considered a suite of reports by the Executive Director, Finance &amp; Planning which set out the following:</w:t>
            </w:r>
          </w:p>
          <w:p w14:paraId="4EFE9A09" w14:textId="77777777" w:rsidR="00BF5AD6" w:rsidRDefault="00BF5AD6" w:rsidP="0056352E">
            <w:pPr>
              <w:rPr>
                <w:rFonts w:cs="Arial"/>
                <w:sz w:val="20"/>
                <w:szCs w:val="20"/>
              </w:rPr>
            </w:pPr>
          </w:p>
          <w:p w14:paraId="18682017" w14:textId="77777777" w:rsidR="00BF5AD6" w:rsidRPr="00BF5AD6" w:rsidRDefault="00BF5AD6" w:rsidP="00BF5AD6">
            <w:pPr>
              <w:rPr>
                <w:rFonts w:cs="Arial"/>
                <w:sz w:val="20"/>
                <w:szCs w:val="20"/>
              </w:rPr>
            </w:pPr>
            <w:r>
              <w:rPr>
                <w:rFonts w:cs="Arial"/>
                <w:sz w:val="20"/>
                <w:szCs w:val="20"/>
              </w:rPr>
              <w:tab/>
            </w:r>
            <w:r w:rsidRPr="00BF5AD6">
              <w:rPr>
                <w:rFonts w:cs="Arial"/>
                <w:sz w:val="20"/>
                <w:szCs w:val="20"/>
              </w:rPr>
              <w:t>(i)</w:t>
            </w:r>
            <w:r w:rsidRPr="00BF5AD6">
              <w:rPr>
                <w:rFonts w:cs="Arial"/>
                <w:sz w:val="20"/>
                <w:szCs w:val="20"/>
              </w:rPr>
              <w:tab/>
              <w:t>Business Plan Submissions</w:t>
            </w:r>
          </w:p>
          <w:p w14:paraId="6DA3DD82" w14:textId="77777777" w:rsidR="00BF5AD6" w:rsidRPr="00BF5AD6" w:rsidRDefault="00BF5AD6" w:rsidP="00BF5AD6">
            <w:pPr>
              <w:rPr>
                <w:rFonts w:cs="Arial"/>
                <w:sz w:val="20"/>
                <w:szCs w:val="20"/>
              </w:rPr>
            </w:pPr>
            <w:r>
              <w:rPr>
                <w:rFonts w:cs="Arial"/>
                <w:sz w:val="20"/>
                <w:szCs w:val="20"/>
              </w:rPr>
              <w:tab/>
            </w:r>
            <w:r w:rsidRPr="00BF5AD6">
              <w:rPr>
                <w:rFonts w:cs="Arial"/>
                <w:sz w:val="20"/>
                <w:szCs w:val="20"/>
              </w:rPr>
              <w:t>(ii)</w:t>
            </w:r>
            <w:r w:rsidRPr="00BF5AD6">
              <w:rPr>
                <w:rFonts w:cs="Arial"/>
                <w:sz w:val="20"/>
                <w:szCs w:val="20"/>
              </w:rPr>
              <w:tab/>
              <w:t>Treasury Management Strategy</w:t>
            </w:r>
          </w:p>
          <w:p w14:paraId="4275A52F" w14:textId="77777777" w:rsidR="00BF5AD6" w:rsidRPr="00BF5AD6" w:rsidRDefault="00BF5AD6" w:rsidP="00BF5AD6">
            <w:pPr>
              <w:rPr>
                <w:rFonts w:cs="Arial"/>
                <w:sz w:val="20"/>
                <w:szCs w:val="20"/>
              </w:rPr>
            </w:pPr>
            <w:r>
              <w:rPr>
                <w:rFonts w:cs="Arial"/>
                <w:sz w:val="20"/>
                <w:szCs w:val="20"/>
              </w:rPr>
              <w:tab/>
            </w:r>
            <w:r w:rsidRPr="00BF5AD6">
              <w:rPr>
                <w:rFonts w:cs="Arial"/>
                <w:sz w:val="20"/>
                <w:szCs w:val="20"/>
              </w:rPr>
              <w:t>(iii)</w:t>
            </w:r>
            <w:r w:rsidRPr="00BF5AD6">
              <w:rPr>
                <w:rFonts w:cs="Arial"/>
                <w:sz w:val="20"/>
                <w:szCs w:val="20"/>
              </w:rPr>
              <w:tab/>
              <w:t>Scenario planning</w:t>
            </w:r>
          </w:p>
          <w:p w14:paraId="364ED7B6" w14:textId="77777777" w:rsidR="00BF5AD6" w:rsidRDefault="00BF5AD6" w:rsidP="00BF5AD6">
            <w:pPr>
              <w:rPr>
                <w:rFonts w:cs="Arial"/>
                <w:sz w:val="20"/>
                <w:szCs w:val="20"/>
              </w:rPr>
            </w:pPr>
            <w:r>
              <w:rPr>
                <w:rFonts w:cs="Arial"/>
                <w:sz w:val="20"/>
                <w:szCs w:val="20"/>
              </w:rPr>
              <w:tab/>
            </w:r>
            <w:r w:rsidRPr="00BF5AD6">
              <w:rPr>
                <w:rFonts w:cs="Arial"/>
                <w:sz w:val="20"/>
                <w:szCs w:val="20"/>
              </w:rPr>
              <w:t>(iv)</w:t>
            </w:r>
            <w:r w:rsidRPr="00BF5AD6">
              <w:rPr>
                <w:rFonts w:cs="Arial"/>
                <w:sz w:val="20"/>
                <w:szCs w:val="20"/>
              </w:rPr>
              <w:tab/>
              <w:t>May Management accounts</w:t>
            </w:r>
          </w:p>
          <w:p w14:paraId="09B64094" w14:textId="77777777" w:rsidR="000578C4" w:rsidRDefault="000578C4" w:rsidP="00BF5AD6">
            <w:pPr>
              <w:rPr>
                <w:rFonts w:cs="Arial"/>
                <w:sz w:val="20"/>
                <w:szCs w:val="20"/>
              </w:rPr>
            </w:pPr>
          </w:p>
          <w:p w14:paraId="2FD830FA" w14:textId="77777777" w:rsidR="000578C4" w:rsidRDefault="000578C4" w:rsidP="00BF5AD6">
            <w:pPr>
              <w:rPr>
                <w:rFonts w:cs="Arial"/>
                <w:sz w:val="20"/>
                <w:szCs w:val="20"/>
              </w:rPr>
            </w:pPr>
            <w:r>
              <w:rPr>
                <w:rFonts w:cs="Arial"/>
                <w:sz w:val="20"/>
                <w:szCs w:val="20"/>
              </w:rPr>
              <w:t>(i) Business Plan Submissions</w:t>
            </w:r>
          </w:p>
          <w:p w14:paraId="13DBBE0A" w14:textId="77777777" w:rsidR="000578C4" w:rsidRDefault="000578C4" w:rsidP="00BF5AD6">
            <w:pPr>
              <w:rPr>
                <w:rFonts w:cs="Arial"/>
                <w:sz w:val="20"/>
                <w:szCs w:val="20"/>
              </w:rPr>
            </w:pPr>
          </w:p>
          <w:p w14:paraId="70164997" w14:textId="42601AE2" w:rsidR="000578C4" w:rsidRPr="000578C4" w:rsidRDefault="000578C4" w:rsidP="000578C4">
            <w:pPr>
              <w:rPr>
                <w:rFonts w:cs="Arial"/>
                <w:sz w:val="20"/>
                <w:szCs w:val="20"/>
              </w:rPr>
            </w:pPr>
            <w:r>
              <w:rPr>
                <w:rFonts w:cs="Arial"/>
                <w:sz w:val="20"/>
                <w:szCs w:val="20"/>
              </w:rPr>
              <w:t>The report provided</w:t>
            </w:r>
            <w:r w:rsidRPr="000578C4">
              <w:rPr>
                <w:rFonts w:cs="Arial"/>
                <w:sz w:val="20"/>
                <w:szCs w:val="20"/>
              </w:rPr>
              <w:t xml:space="preserve"> an updated summary of the financial business plans for 2020/21, including all changes made following review meetings in May.</w:t>
            </w:r>
          </w:p>
          <w:p w14:paraId="22121C65" w14:textId="77777777" w:rsidR="000578C4" w:rsidRDefault="000578C4" w:rsidP="000578C4">
            <w:pPr>
              <w:rPr>
                <w:rFonts w:cs="Arial"/>
                <w:sz w:val="20"/>
                <w:szCs w:val="20"/>
              </w:rPr>
            </w:pPr>
          </w:p>
          <w:p w14:paraId="2BD80FF5" w14:textId="7450048A" w:rsidR="000578C4" w:rsidRDefault="000578C4" w:rsidP="000578C4">
            <w:pPr>
              <w:rPr>
                <w:rFonts w:cs="Arial"/>
                <w:sz w:val="20"/>
                <w:szCs w:val="20"/>
              </w:rPr>
            </w:pPr>
            <w:r w:rsidRPr="000578C4">
              <w:rPr>
                <w:rFonts w:cs="Arial"/>
                <w:sz w:val="20"/>
                <w:szCs w:val="20"/>
              </w:rPr>
              <w:t>The plans were produced on a pre</w:t>
            </w:r>
            <w:r w:rsidR="007D5433">
              <w:rPr>
                <w:rFonts w:cs="Arial"/>
                <w:sz w:val="20"/>
                <w:szCs w:val="20"/>
              </w:rPr>
              <w:t>-</w:t>
            </w:r>
            <w:r w:rsidRPr="000578C4">
              <w:rPr>
                <w:rFonts w:cs="Arial"/>
                <w:sz w:val="20"/>
                <w:szCs w:val="20"/>
              </w:rPr>
              <w:t xml:space="preserve">Covid-19 </w:t>
            </w:r>
            <w:r>
              <w:rPr>
                <w:rFonts w:cs="Arial"/>
                <w:sz w:val="20"/>
                <w:szCs w:val="20"/>
              </w:rPr>
              <w:t>business as usual basis and would</w:t>
            </w:r>
            <w:r w:rsidRPr="000578C4">
              <w:rPr>
                <w:rFonts w:cs="Arial"/>
                <w:sz w:val="20"/>
                <w:szCs w:val="20"/>
              </w:rPr>
              <w:t xml:space="preserve"> provide an initial baseline budget to work from for the final budget in the autumn.  The consolidated </w:t>
            </w:r>
            <w:r>
              <w:rPr>
                <w:rFonts w:cs="Arial"/>
                <w:sz w:val="20"/>
                <w:szCs w:val="20"/>
              </w:rPr>
              <w:t>financial position for 2020/21 was a surplus of £15.3m, which wa</w:t>
            </w:r>
            <w:r w:rsidRPr="000578C4">
              <w:rPr>
                <w:rFonts w:cs="Arial"/>
                <w:sz w:val="20"/>
                <w:szCs w:val="20"/>
              </w:rPr>
              <w:t xml:space="preserve">s £12.8m higher than the University Economy Model assumption of £2.5m which Council agreed in March 2020. In </w:t>
            </w:r>
            <w:r>
              <w:rPr>
                <w:rFonts w:cs="Arial"/>
                <w:sz w:val="20"/>
                <w:szCs w:val="20"/>
              </w:rPr>
              <w:t>receiving this budget, Council wa</w:t>
            </w:r>
            <w:r w:rsidRPr="000578C4">
              <w:rPr>
                <w:rFonts w:cs="Arial"/>
                <w:sz w:val="20"/>
                <w:szCs w:val="20"/>
              </w:rPr>
              <w:t>s not approving it as the basis for releasing spending approvals for growth but</w:t>
            </w:r>
            <w:r w:rsidR="007520C6">
              <w:rPr>
                <w:rFonts w:cs="Arial"/>
                <w:sz w:val="20"/>
                <w:szCs w:val="20"/>
              </w:rPr>
              <w:t>,</w:t>
            </w:r>
            <w:r w:rsidRPr="000578C4">
              <w:rPr>
                <w:rFonts w:cs="Arial"/>
                <w:sz w:val="20"/>
                <w:szCs w:val="20"/>
              </w:rPr>
              <w:t xml:space="preserve"> as in previous years</w:t>
            </w:r>
            <w:r>
              <w:rPr>
                <w:rFonts w:cs="Arial"/>
                <w:sz w:val="20"/>
                <w:szCs w:val="20"/>
              </w:rPr>
              <w:t>,</w:t>
            </w:r>
            <w:r w:rsidRPr="000578C4">
              <w:rPr>
                <w:rFonts w:cs="Arial"/>
                <w:sz w:val="20"/>
                <w:szCs w:val="20"/>
              </w:rPr>
              <w:t xml:space="preserve"> as the basis for the fin</w:t>
            </w:r>
            <w:r>
              <w:rPr>
                <w:rFonts w:cs="Arial"/>
                <w:sz w:val="20"/>
                <w:szCs w:val="20"/>
              </w:rPr>
              <w:t>al budget. Expenditure continued</w:t>
            </w:r>
            <w:r w:rsidRPr="000578C4">
              <w:rPr>
                <w:rFonts w:cs="Arial"/>
                <w:sz w:val="20"/>
                <w:szCs w:val="20"/>
              </w:rPr>
              <w:t xml:space="preserve"> to be restricted to essential only during this period of sc</w:t>
            </w:r>
            <w:r>
              <w:rPr>
                <w:rFonts w:cs="Arial"/>
                <w:sz w:val="20"/>
                <w:szCs w:val="20"/>
              </w:rPr>
              <w:t>enario planning whilst</w:t>
            </w:r>
            <w:r w:rsidRPr="000578C4">
              <w:rPr>
                <w:rFonts w:cs="Arial"/>
                <w:sz w:val="20"/>
                <w:szCs w:val="20"/>
              </w:rPr>
              <w:t xml:space="preserve"> outcomes against milestones</w:t>
            </w:r>
            <w:r>
              <w:rPr>
                <w:rFonts w:cs="Arial"/>
                <w:sz w:val="20"/>
                <w:szCs w:val="20"/>
              </w:rPr>
              <w:t xml:space="preserve"> were reviewed</w:t>
            </w:r>
            <w:r w:rsidRPr="000578C4">
              <w:rPr>
                <w:rFonts w:cs="Arial"/>
                <w:sz w:val="20"/>
                <w:szCs w:val="20"/>
              </w:rPr>
              <w:t>.</w:t>
            </w:r>
          </w:p>
          <w:p w14:paraId="1AE8E580" w14:textId="77777777" w:rsidR="000578C4" w:rsidRPr="000578C4" w:rsidRDefault="000578C4" w:rsidP="000578C4">
            <w:pPr>
              <w:rPr>
                <w:rFonts w:cs="Arial"/>
                <w:sz w:val="20"/>
                <w:szCs w:val="20"/>
              </w:rPr>
            </w:pPr>
            <w:r w:rsidRPr="000578C4">
              <w:rPr>
                <w:rFonts w:cs="Arial"/>
                <w:sz w:val="20"/>
                <w:szCs w:val="20"/>
              </w:rPr>
              <w:t xml:space="preserve"> </w:t>
            </w:r>
          </w:p>
          <w:p w14:paraId="73B91B84" w14:textId="77777777" w:rsidR="000578C4" w:rsidRDefault="000578C4" w:rsidP="000578C4">
            <w:pPr>
              <w:rPr>
                <w:rFonts w:cs="Arial"/>
                <w:sz w:val="20"/>
                <w:szCs w:val="20"/>
              </w:rPr>
            </w:pPr>
            <w:r w:rsidRPr="000578C4">
              <w:rPr>
                <w:rFonts w:cs="Arial"/>
                <w:sz w:val="20"/>
                <w:szCs w:val="20"/>
              </w:rPr>
              <w:t>Alongside business plans, inte</w:t>
            </w:r>
            <w:r>
              <w:rPr>
                <w:rFonts w:cs="Arial"/>
                <w:sz w:val="20"/>
                <w:szCs w:val="20"/>
              </w:rPr>
              <w:t>nsive scenario planning work had</w:t>
            </w:r>
            <w:r w:rsidRPr="000578C4">
              <w:rPr>
                <w:rFonts w:cs="Arial"/>
                <w:sz w:val="20"/>
                <w:szCs w:val="20"/>
              </w:rPr>
              <w:t xml:space="preserve"> taken place to better understand the potential impact of the global pandemic on the university.  The scenario planning work was consid</w:t>
            </w:r>
            <w:r>
              <w:rPr>
                <w:rFonts w:cs="Arial"/>
                <w:sz w:val="20"/>
                <w:szCs w:val="20"/>
              </w:rPr>
              <w:t>ered by UEB on 15th June and had</w:t>
            </w:r>
            <w:r w:rsidRPr="000578C4">
              <w:rPr>
                <w:rFonts w:cs="Arial"/>
                <w:sz w:val="20"/>
                <w:szCs w:val="20"/>
              </w:rPr>
              <w:t xml:space="preserve"> been developed for th</w:t>
            </w:r>
            <w:r>
              <w:rPr>
                <w:rFonts w:cs="Arial"/>
                <w:sz w:val="20"/>
                <w:szCs w:val="20"/>
              </w:rPr>
              <w:t>is Council meeting, the report was included within the</w:t>
            </w:r>
            <w:r w:rsidRPr="000578C4">
              <w:rPr>
                <w:rFonts w:cs="Arial"/>
                <w:sz w:val="20"/>
                <w:szCs w:val="20"/>
              </w:rPr>
              <w:t xml:space="preserve"> agen</w:t>
            </w:r>
            <w:r>
              <w:rPr>
                <w:rFonts w:cs="Arial"/>
                <w:sz w:val="20"/>
                <w:szCs w:val="20"/>
              </w:rPr>
              <w:t xml:space="preserve">da.  Outputs from this work </w:t>
            </w:r>
            <w:r>
              <w:rPr>
                <w:rFonts w:cs="Arial"/>
                <w:sz w:val="20"/>
                <w:szCs w:val="20"/>
              </w:rPr>
              <w:lastRenderedPageBreak/>
              <w:t>would</w:t>
            </w:r>
            <w:r w:rsidRPr="000578C4">
              <w:rPr>
                <w:rFonts w:cs="Arial"/>
                <w:sz w:val="20"/>
                <w:szCs w:val="20"/>
              </w:rPr>
              <w:t xml:space="preserve"> be </w:t>
            </w:r>
            <w:r w:rsidR="007D5433">
              <w:rPr>
                <w:rFonts w:cs="Arial"/>
                <w:sz w:val="20"/>
                <w:szCs w:val="20"/>
              </w:rPr>
              <w:t xml:space="preserve">further </w:t>
            </w:r>
            <w:r w:rsidRPr="000578C4">
              <w:rPr>
                <w:rFonts w:cs="Arial"/>
                <w:sz w:val="20"/>
                <w:szCs w:val="20"/>
              </w:rPr>
              <w:t>developed over the summer, in order to feed adjustments into the final budget.</w:t>
            </w:r>
          </w:p>
          <w:p w14:paraId="1F6183C0" w14:textId="77777777" w:rsidR="000578C4" w:rsidRDefault="000578C4" w:rsidP="000578C4">
            <w:pPr>
              <w:rPr>
                <w:rFonts w:cs="Arial"/>
                <w:sz w:val="20"/>
                <w:szCs w:val="20"/>
              </w:rPr>
            </w:pPr>
          </w:p>
          <w:p w14:paraId="7B082CB2" w14:textId="62F0DD97" w:rsidR="000578C4" w:rsidRDefault="000578C4" w:rsidP="000578C4">
            <w:pPr>
              <w:rPr>
                <w:rFonts w:cs="Arial"/>
                <w:sz w:val="20"/>
                <w:szCs w:val="20"/>
              </w:rPr>
            </w:pPr>
            <w:r>
              <w:rPr>
                <w:rFonts w:cs="Arial"/>
                <w:sz w:val="20"/>
                <w:szCs w:val="20"/>
              </w:rPr>
              <w:t>RESOLVED that the initial pre-</w:t>
            </w:r>
            <w:proofErr w:type="spellStart"/>
            <w:r w:rsidR="007D5433">
              <w:rPr>
                <w:rFonts w:cs="Arial"/>
                <w:sz w:val="20"/>
                <w:szCs w:val="20"/>
              </w:rPr>
              <w:t>C</w:t>
            </w:r>
            <w:r w:rsidRPr="000578C4">
              <w:rPr>
                <w:rFonts w:cs="Arial"/>
                <w:sz w:val="20"/>
                <w:szCs w:val="20"/>
              </w:rPr>
              <w:t>ovid</w:t>
            </w:r>
            <w:proofErr w:type="spellEnd"/>
            <w:r w:rsidRPr="000578C4">
              <w:rPr>
                <w:rFonts w:cs="Arial"/>
                <w:sz w:val="20"/>
                <w:szCs w:val="20"/>
              </w:rPr>
              <w:t xml:space="preserve"> budget for 2020/21 </w:t>
            </w:r>
            <w:r>
              <w:rPr>
                <w:rFonts w:cs="Arial"/>
                <w:sz w:val="20"/>
                <w:szCs w:val="20"/>
              </w:rPr>
              <w:t xml:space="preserve">be noted </w:t>
            </w:r>
            <w:r w:rsidRPr="000578C4">
              <w:rPr>
                <w:rFonts w:cs="Arial"/>
                <w:sz w:val="20"/>
                <w:szCs w:val="20"/>
              </w:rPr>
              <w:t>as the basis for forward planning ahead of the final budget for 2020/21 in November.</w:t>
            </w:r>
          </w:p>
          <w:p w14:paraId="03A7A19A" w14:textId="77777777" w:rsidR="000578C4" w:rsidRDefault="000578C4" w:rsidP="000578C4">
            <w:pPr>
              <w:rPr>
                <w:rFonts w:cs="Arial"/>
                <w:sz w:val="20"/>
                <w:szCs w:val="20"/>
              </w:rPr>
            </w:pPr>
          </w:p>
          <w:p w14:paraId="50EF4B04" w14:textId="77777777" w:rsidR="000578C4" w:rsidRDefault="000578C4" w:rsidP="000578C4">
            <w:pPr>
              <w:rPr>
                <w:rFonts w:cs="Arial"/>
                <w:sz w:val="20"/>
                <w:szCs w:val="20"/>
              </w:rPr>
            </w:pPr>
            <w:r>
              <w:rPr>
                <w:rFonts w:cs="Arial"/>
                <w:sz w:val="20"/>
                <w:szCs w:val="20"/>
              </w:rPr>
              <w:t>(ii) Treasury Management Strategy</w:t>
            </w:r>
          </w:p>
          <w:p w14:paraId="071DA988" w14:textId="4D71CB09" w:rsidR="000578C4" w:rsidRPr="000578C4" w:rsidRDefault="000578C4" w:rsidP="000578C4">
            <w:pPr>
              <w:rPr>
                <w:rFonts w:cs="Arial"/>
                <w:sz w:val="20"/>
                <w:szCs w:val="20"/>
              </w:rPr>
            </w:pPr>
            <w:r>
              <w:rPr>
                <w:rFonts w:cs="Arial"/>
                <w:sz w:val="20"/>
                <w:szCs w:val="20"/>
              </w:rPr>
              <w:t>The report provided</w:t>
            </w:r>
            <w:r w:rsidRPr="000578C4">
              <w:rPr>
                <w:rFonts w:cs="Arial"/>
                <w:sz w:val="20"/>
                <w:szCs w:val="20"/>
              </w:rPr>
              <w:t xml:space="preserve"> Council with information on the current level of cash balances and borrowings.</w:t>
            </w:r>
          </w:p>
          <w:p w14:paraId="17FD680D" w14:textId="77777777" w:rsidR="000578C4" w:rsidRDefault="000578C4" w:rsidP="000578C4">
            <w:pPr>
              <w:rPr>
                <w:rFonts w:cs="Arial"/>
                <w:sz w:val="20"/>
                <w:szCs w:val="20"/>
              </w:rPr>
            </w:pPr>
          </w:p>
          <w:p w14:paraId="6F8D838D" w14:textId="77777777" w:rsidR="000578C4" w:rsidRDefault="000578C4" w:rsidP="000578C4">
            <w:pPr>
              <w:rPr>
                <w:rFonts w:cs="Arial"/>
                <w:sz w:val="20"/>
                <w:szCs w:val="20"/>
              </w:rPr>
            </w:pPr>
            <w:r>
              <w:rPr>
                <w:rFonts w:cs="Arial"/>
                <w:sz w:val="20"/>
                <w:szCs w:val="20"/>
              </w:rPr>
              <w:t>Overall cash balances we</w:t>
            </w:r>
            <w:r w:rsidRPr="000578C4">
              <w:rPr>
                <w:rFonts w:cs="Arial"/>
                <w:sz w:val="20"/>
                <w:szCs w:val="20"/>
              </w:rPr>
              <w:t>re high (£516m), and above previously assumed levels in both the University Economy Model (UEM) an</w:t>
            </w:r>
            <w:r>
              <w:rPr>
                <w:rFonts w:cs="Arial"/>
                <w:sz w:val="20"/>
                <w:szCs w:val="20"/>
              </w:rPr>
              <w:t>d business plans.  This reflected</w:t>
            </w:r>
            <w:r w:rsidRPr="000578C4">
              <w:rPr>
                <w:rFonts w:cs="Arial"/>
                <w:sz w:val="20"/>
                <w:szCs w:val="20"/>
              </w:rPr>
              <w:t xml:space="preserve"> the slower than anticipated drawdown of cash for the capital programme.</w:t>
            </w:r>
          </w:p>
          <w:p w14:paraId="22FCA758" w14:textId="77777777" w:rsidR="000578C4" w:rsidRPr="000578C4" w:rsidRDefault="000578C4" w:rsidP="000578C4">
            <w:pPr>
              <w:rPr>
                <w:rFonts w:cs="Arial"/>
                <w:sz w:val="20"/>
                <w:szCs w:val="20"/>
              </w:rPr>
            </w:pPr>
          </w:p>
          <w:p w14:paraId="51AC9CD4" w14:textId="77777777" w:rsidR="000578C4" w:rsidRDefault="000578C4" w:rsidP="000578C4">
            <w:pPr>
              <w:rPr>
                <w:rFonts w:cs="Arial"/>
                <w:sz w:val="20"/>
                <w:szCs w:val="20"/>
              </w:rPr>
            </w:pPr>
            <w:r w:rsidRPr="000578C4">
              <w:rPr>
                <w:rFonts w:cs="Arial"/>
                <w:sz w:val="20"/>
                <w:szCs w:val="20"/>
              </w:rPr>
              <w:t>Market volatility, resulti</w:t>
            </w:r>
            <w:r>
              <w:rPr>
                <w:rFonts w:cs="Arial"/>
                <w:sz w:val="20"/>
                <w:szCs w:val="20"/>
              </w:rPr>
              <w:t>ng from the global pandemic, had</w:t>
            </w:r>
            <w:r w:rsidRPr="000578C4">
              <w:rPr>
                <w:rFonts w:cs="Arial"/>
                <w:sz w:val="20"/>
                <w:szCs w:val="20"/>
              </w:rPr>
              <w:t xml:space="preserve"> negatively imp</w:t>
            </w:r>
            <w:r>
              <w:rPr>
                <w:rFonts w:cs="Arial"/>
                <w:sz w:val="20"/>
                <w:szCs w:val="20"/>
              </w:rPr>
              <w:t>acted on the market value of</w:t>
            </w:r>
            <w:r w:rsidRPr="000578C4">
              <w:rPr>
                <w:rFonts w:cs="Arial"/>
                <w:sz w:val="20"/>
                <w:szCs w:val="20"/>
              </w:rPr>
              <w:t xml:space="preserve"> investment</w:t>
            </w:r>
            <w:r>
              <w:rPr>
                <w:rFonts w:cs="Arial"/>
                <w:sz w:val="20"/>
                <w:szCs w:val="20"/>
              </w:rPr>
              <w:t>s</w:t>
            </w:r>
            <w:r w:rsidRPr="000578C4">
              <w:rPr>
                <w:rFonts w:cs="Arial"/>
                <w:sz w:val="20"/>
                <w:szCs w:val="20"/>
              </w:rPr>
              <w:t xml:space="preserve"> with Royal London Asset Mana</w:t>
            </w:r>
            <w:r>
              <w:rPr>
                <w:rFonts w:cs="Arial"/>
                <w:sz w:val="20"/>
                <w:szCs w:val="20"/>
              </w:rPr>
              <w:t>gers (RLAM).  The University</w:t>
            </w:r>
            <w:r w:rsidRPr="000578C4">
              <w:rPr>
                <w:rFonts w:cs="Arial"/>
                <w:sz w:val="20"/>
                <w:szCs w:val="20"/>
              </w:rPr>
              <w:t xml:space="preserve"> originally placed £200m into a fixed income fund, and the market value of this product as at 31 May 2020 is £196m.  Conversely our diversified growth produ</w:t>
            </w:r>
            <w:r>
              <w:rPr>
                <w:rFonts w:cs="Arial"/>
                <w:sz w:val="20"/>
                <w:szCs w:val="20"/>
              </w:rPr>
              <w:t xml:space="preserve">ct (£35m placed with </w:t>
            </w:r>
            <w:proofErr w:type="spellStart"/>
            <w:r>
              <w:rPr>
                <w:rFonts w:cs="Arial"/>
                <w:sz w:val="20"/>
                <w:szCs w:val="20"/>
              </w:rPr>
              <w:t>Ruffer</w:t>
            </w:r>
            <w:proofErr w:type="spellEnd"/>
            <w:r>
              <w:rPr>
                <w:rFonts w:cs="Arial"/>
                <w:sz w:val="20"/>
                <w:szCs w:val="20"/>
              </w:rPr>
              <w:t>) had</w:t>
            </w:r>
            <w:r w:rsidRPr="000578C4">
              <w:rPr>
                <w:rFonts w:cs="Arial"/>
                <w:sz w:val="20"/>
                <w:szCs w:val="20"/>
              </w:rPr>
              <w:t xml:space="preserve"> weathered the storm and currently showing a market value of £38m.</w:t>
            </w:r>
          </w:p>
          <w:p w14:paraId="66096441" w14:textId="77777777" w:rsidR="000578C4" w:rsidRPr="000578C4" w:rsidRDefault="000578C4" w:rsidP="000578C4">
            <w:pPr>
              <w:rPr>
                <w:rFonts w:cs="Arial"/>
                <w:sz w:val="20"/>
                <w:szCs w:val="20"/>
              </w:rPr>
            </w:pPr>
          </w:p>
          <w:p w14:paraId="1157F964" w14:textId="218708AA" w:rsidR="000578C4" w:rsidRDefault="000578C4" w:rsidP="000578C4">
            <w:pPr>
              <w:rPr>
                <w:rFonts w:cs="Arial"/>
                <w:sz w:val="20"/>
                <w:szCs w:val="20"/>
              </w:rPr>
            </w:pPr>
            <w:r>
              <w:rPr>
                <w:rFonts w:cs="Arial"/>
                <w:sz w:val="20"/>
                <w:szCs w:val="20"/>
              </w:rPr>
              <w:t>Total borrowings we</w:t>
            </w:r>
            <w:r w:rsidRPr="000578C4">
              <w:rPr>
                <w:rFonts w:cs="Arial"/>
                <w:sz w:val="20"/>
                <w:szCs w:val="20"/>
              </w:rPr>
              <w:t xml:space="preserve">re £412m.  </w:t>
            </w:r>
            <w:proofErr w:type="gramStart"/>
            <w:r w:rsidRPr="000578C4">
              <w:rPr>
                <w:rFonts w:cs="Arial"/>
                <w:sz w:val="20"/>
                <w:szCs w:val="20"/>
              </w:rPr>
              <w:t>The majorit</w:t>
            </w:r>
            <w:r>
              <w:rPr>
                <w:rFonts w:cs="Arial"/>
                <w:sz w:val="20"/>
                <w:szCs w:val="20"/>
              </w:rPr>
              <w:t>y of</w:t>
            </w:r>
            <w:proofErr w:type="gramEnd"/>
            <w:r>
              <w:rPr>
                <w:rFonts w:cs="Arial"/>
                <w:sz w:val="20"/>
                <w:szCs w:val="20"/>
              </w:rPr>
              <w:t xml:space="preserve"> this amount (£350m) related</w:t>
            </w:r>
            <w:r w:rsidRPr="000578C4">
              <w:rPr>
                <w:rFonts w:cs="Arial"/>
                <w:sz w:val="20"/>
                <w:szCs w:val="20"/>
              </w:rPr>
              <w:t xml:space="preserve"> to bullet repayment debt which is not due until 2037 (Barclays loan) and 2057 (public bond).</w:t>
            </w:r>
          </w:p>
          <w:p w14:paraId="77073AC1" w14:textId="546426EA" w:rsidR="000578C4" w:rsidRPr="000578C4" w:rsidRDefault="000578C4" w:rsidP="000578C4">
            <w:pPr>
              <w:rPr>
                <w:rFonts w:cs="Arial"/>
                <w:sz w:val="20"/>
                <w:szCs w:val="20"/>
              </w:rPr>
            </w:pPr>
          </w:p>
          <w:p w14:paraId="6B65FE9D" w14:textId="078675A1" w:rsidR="000578C4" w:rsidRDefault="000578C4" w:rsidP="000578C4">
            <w:pPr>
              <w:rPr>
                <w:rFonts w:cs="Arial"/>
                <w:sz w:val="20"/>
                <w:szCs w:val="20"/>
              </w:rPr>
            </w:pPr>
            <w:r>
              <w:rPr>
                <w:rFonts w:cs="Arial"/>
                <w:sz w:val="20"/>
                <w:szCs w:val="20"/>
              </w:rPr>
              <w:t>There had</w:t>
            </w:r>
            <w:r w:rsidRPr="000578C4">
              <w:rPr>
                <w:rFonts w:cs="Arial"/>
                <w:sz w:val="20"/>
                <w:szCs w:val="20"/>
              </w:rPr>
              <w:t xml:space="preserve"> been no breaches of the </w:t>
            </w:r>
            <w:r w:rsidR="007D5433">
              <w:rPr>
                <w:rFonts w:cs="Arial"/>
                <w:sz w:val="20"/>
                <w:szCs w:val="20"/>
              </w:rPr>
              <w:t>T</w:t>
            </w:r>
            <w:r w:rsidRPr="000578C4">
              <w:rPr>
                <w:rFonts w:cs="Arial"/>
                <w:sz w:val="20"/>
                <w:szCs w:val="20"/>
              </w:rPr>
              <w:t xml:space="preserve">reasury </w:t>
            </w:r>
            <w:r w:rsidR="007D5433">
              <w:rPr>
                <w:rFonts w:cs="Arial"/>
                <w:sz w:val="20"/>
                <w:szCs w:val="20"/>
              </w:rPr>
              <w:t>M</w:t>
            </w:r>
            <w:r w:rsidRPr="000578C4">
              <w:rPr>
                <w:rFonts w:cs="Arial"/>
                <w:sz w:val="20"/>
                <w:szCs w:val="20"/>
              </w:rPr>
              <w:t xml:space="preserve">anagement </w:t>
            </w:r>
            <w:r w:rsidR="007D5433">
              <w:rPr>
                <w:rFonts w:cs="Arial"/>
                <w:sz w:val="20"/>
                <w:szCs w:val="20"/>
              </w:rPr>
              <w:t>S</w:t>
            </w:r>
            <w:r w:rsidRPr="000578C4">
              <w:rPr>
                <w:rFonts w:cs="Arial"/>
                <w:sz w:val="20"/>
                <w:szCs w:val="20"/>
              </w:rPr>
              <w:t>trategy (TMS) over the las</w:t>
            </w:r>
            <w:r>
              <w:rPr>
                <w:rFonts w:cs="Arial"/>
                <w:sz w:val="20"/>
                <w:szCs w:val="20"/>
              </w:rPr>
              <w:t xml:space="preserve">t 12 months.  </w:t>
            </w:r>
            <w:r w:rsidR="008176C7">
              <w:rPr>
                <w:rFonts w:cs="Arial"/>
                <w:sz w:val="20"/>
                <w:szCs w:val="20"/>
              </w:rPr>
              <w:t xml:space="preserve">Finance Committee have agreed changes to </w:t>
            </w:r>
            <w:r>
              <w:rPr>
                <w:rFonts w:cs="Arial"/>
                <w:sz w:val="20"/>
                <w:szCs w:val="20"/>
              </w:rPr>
              <w:t xml:space="preserve">the TMS policy </w:t>
            </w:r>
            <w:r w:rsidRPr="000578C4">
              <w:rPr>
                <w:rFonts w:cs="Arial"/>
                <w:sz w:val="20"/>
                <w:szCs w:val="20"/>
              </w:rPr>
              <w:t>to reflect the creation of an Investment Committee and to increase counter-party exposure limits to £100m</w:t>
            </w:r>
            <w:r w:rsidR="008176C7">
              <w:rPr>
                <w:rFonts w:cs="Arial"/>
                <w:sz w:val="20"/>
                <w:szCs w:val="20"/>
              </w:rPr>
              <w:t xml:space="preserve"> with Executive Director, Finance and Planning approval </w:t>
            </w:r>
            <w:proofErr w:type="gramStart"/>
            <w:r w:rsidR="008176C7">
              <w:rPr>
                <w:rFonts w:cs="Arial"/>
                <w:sz w:val="20"/>
                <w:szCs w:val="20"/>
              </w:rPr>
              <w:t>as long as</w:t>
            </w:r>
            <w:proofErr w:type="gramEnd"/>
            <w:r w:rsidR="008176C7">
              <w:rPr>
                <w:rFonts w:cs="Arial"/>
                <w:sz w:val="20"/>
                <w:szCs w:val="20"/>
              </w:rPr>
              <w:t xml:space="preserve"> Finance Committee are informed in a timely manner</w:t>
            </w:r>
            <w:r w:rsidRPr="000578C4">
              <w:rPr>
                <w:rFonts w:cs="Arial"/>
                <w:sz w:val="20"/>
                <w:szCs w:val="20"/>
              </w:rPr>
              <w:t>.</w:t>
            </w:r>
          </w:p>
          <w:p w14:paraId="42E5BAA8" w14:textId="77777777" w:rsidR="000578C4" w:rsidRPr="000578C4" w:rsidRDefault="000578C4" w:rsidP="000578C4">
            <w:pPr>
              <w:rPr>
                <w:rFonts w:cs="Arial"/>
                <w:sz w:val="20"/>
                <w:szCs w:val="20"/>
              </w:rPr>
            </w:pPr>
          </w:p>
          <w:p w14:paraId="02368EFC" w14:textId="77777777" w:rsidR="000578C4" w:rsidRDefault="000578C4" w:rsidP="000578C4">
            <w:pPr>
              <w:rPr>
                <w:rFonts w:cs="Arial"/>
                <w:sz w:val="20"/>
                <w:szCs w:val="20"/>
              </w:rPr>
            </w:pPr>
            <w:r>
              <w:rPr>
                <w:rFonts w:cs="Arial"/>
                <w:sz w:val="20"/>
                <w:szCs w:val="20"/>
              </w:rPr>
              <w:t>Information had been provided</w:t>
            </w:r>
            <w:r w:rsidRPr="000578C4">
              <w:rPr>
                <w:rFonts w:cs="Arial"/>
                <w:sz w:val="20"/>
                <w:szCs w:val="20"/>
              </w:rPr>
              <w:t xml:space="preserve"> to show the cash and covenant forecast positions for the principal scenario both </w:t>
            </w:r>
            <w:proofErr w:type="gramStart"/>
            <w:r w:rsidRPr="000578C4">
              <w:rPr>
                <w:rFonts w:cs="Arial"/>
                <w:sz w:val="20"/>
                <w:szCs w:val="20"/>
              </w:rPr>
              <w:t>pre</w:t>
            </w:r>
            <w:proofErr w:type="gramEnd"/>
            <w:r w:rsidRPr="000578C4">
              <w:rPr>
                <w:rFonts w:cs="Arial"/>
                <w:sz w:val="20"/>
                <w:szCs w:val="20"/>
              </w:rPr>
              <w:t xml:space="preserve"> and post-mitigating actions.  Without action, the revenue impacts in 2020/21 primarily relating to international student recruitment would cause a significant reduction in cash balances and a large breach in covenant over two years.  The </w:t>
            </w:r>
            <w:r>
              <w:rPr>
                <w:rFonts w:cs="Arial"/>
                <w:sz w:val="20"/>
                <w:szCs w:val="20"/>
              </w:rPr>
              <w:t>scenario planning paper provided</w:t>
            </w:r>
            <w:r w:rsidRPr="000578C4">
              <w:rPr>
                <w:rFonts w:cs="Arial"/>
                <w:sz w:val="20"/>
                <w:szCs w:val="20"/>
              </w:rPr>
              <w:t xml:space="preserve"> more details on plans for mitigating against this.</w:t>
            </w:r>
          </w:p>
          <w:p w14:paraId="021805C2" w14:textId="77777777" w:rsidR="000578C4" w:rsidRDefault="000578C4" w:rsidP="000578C4">
            <w:pPr>
              <w:rPr>
                <w:rFonts w:cs="Arial"/>
                <w:sz w:val="20"/>
                <w:szCs w:val="20"/>
              </w:rPr>
            </w:pPr>
          </w:p>
          <w:p w14:paraId="6EA19D65" w14:textId="77777777" w:rsidR="000578C4" w:rsidRDefault="000578C4" w:rsidP="000578C4">
            <w:pPr>
              <w:rPr>
                <w:rFonts w:cs="Arial"/>
                <w:sz w:val="20"/>
                <w:szCs w:val="20"/>
              </w:rPr>
            </w:pPr>
            <w:r>
              <w:rPr>
                <w:rFonts w:cs="Arial"/>
                <w:sz w:val="20"/>
                <w:szCs w:val="20"/>
              </w:rPr>
              <w:t>RESOLVED</w:t>
            </w:r>
            <w:r>
              <w:t xml:space="preserve"> </w:t>
            </w:r>
            <w:r>
              <w:rPr>
                <w:rFonts w:cs="Arial"/>
                <w:sz w:val="20"/>
                <w:szCs w:val="20"/>
              </w:rPr>
              <w:t>that</w:t>
            </w:r>
          </w:p>
          <w:p w14:paraId="49202C30" w14:textId="77777777" w:rsidR="000578C4" w:rsidRDefault="000578C4" w:rsidP="000578C4">
            <w:pPr>
              <w:rPr>
                <w:rFonts w:cs="Arial"/>
                <w:sz w:val="20"/>
                <w:szCs w:val="20"/>
              </w:rPr>
            </w:pPr>
          </w:p>
          <w:p w14:paraId="724C136A" w14:textId="77777777" w:rsidR="000578C4" w:rsidRDefault="000D19BA" w:rsidP="000578C4">
            <w:pPr>
              <w:rPr>
                <w:rFonts w:cs="Arial"/>
                <w:sz w:val="20"/>
                <w:szCs w:val="20"/>
              </w:rPr>
            </w:pPr>
            <w:r>
              <w:rPr>
                <w:rFonts w:cs="Arial"/>
                <w:sz w:val="20"/>
                <w:szCs w:val="20"/>
              </w:rPr>
              <w:t>(1</w:t>
            </w:r>
            <w:r w:rsidR="000578C4">
              <w:rPr>
                <w:rFonts w:cs="Arial"/>
                <w:sz w:val="20"/>
                <w:szCs w:val="20"/>
              </w:rPr>
              <w:t>) the report be noted</w:t>
            </w:r>
            <w:r w:rsidR="000578C4" w:rsidRPr="000578C4">
              <w:rPr>
                <w:rFonts w:cs="Arial"/>
                <w:sz w:val="20"/>
                <w:szCs w:val="20"/>
              </w:rPr>
              <w:t>, ahead of receiving a Treasury Management Strategy (TMS) for app</w:t>
            </w:r>
            <w:r w:rsidR="000578C4">
              <w:rPr>
                <w:rFonts w:cs="Arial"/>
                <w:sz w:val="20"/>
                <w:szCs w:val="20"/>
              </w:rPr>
              <w:t>roval in November - which aligned to the final budget; and</w:t>
            </w:r>
          </w:p>
          <w:p w14:paraId="6B91AB83" w14:textId="77777777" w:rsidR="000578C4" w:rsidRPr="000578C4" w:rsidRDefault="000578C4" w:rsidP="000578C4">
            <w:pPr>
              <w:rPr>
                <w:rFonts w:cs="Arial"/>
                <w:sz w:val="20"/>
                <w:szCs w:val="20"/>
              </w:rPr>
            </w:pPr>
          </w:p>
          <w:p w14:paraId="4E6DB0E8" w14:textId="77777777" w:rsidR="000578C4" w:rsidRDefault="000D19BA" w:rsidP="000578C4">
            <w:pPr>
              <w:rPr>
                <w:rFonts w:cs="Arial"/>
                <w:sz w:val="20"/>
                <w:szCs w:val="20"/>
              </w:rPr>
            </w:pPr>
            <w:r>
              <w:rPr>
                <w:rFonts w:cs="Arial"/>
                <w:sz w:val="20"/>
                <w:szCs w:val="20"/>
              </w:rPr>
              <w:t>(2</w:t>
            </w:r>
            <w:r w:rsidR="000578C4">
              <w:rPr>
                <w:rFonts w:cs="Arial"/>
                <w:sz w:val="20"/>
                <w:szCs w:val="20"/>
              </w:rPr>
              <w:t>) the Treasury Management Strategy approval process be</w:t>
            </w:r>
            <w:r w:rsidR="000578C4" w:rsidRPr="000578C4">
              <w:rPr>
                <w:rFonts w:cs="Arial"/>
                <w:sz w:val="20"/>
                <w:szCs w:val="20"/>
              </w:rPr>
              <w:t xml:space="preserve"> different this y</w:t>
            </w:r>
            <w:r w:rsidR="000F34CD">
              <w:rPr>
                <w:rFonts w:cs="Arial"/>
                <w:sz w:val="20"/>
                <w:szCs w:val="20"/>
              </w:rPr>
              <w:t xml:space="preserve">ear.  The principal scenario </w:t>
            </w:r>
            <w:r w:rsidR="000578C4" w:rsidRPr="000578C4">
              <w:rPr>
                <w:rFonts w:cs="Arial"/>
                <w:sz w:val="20"/>
                <w:szCs w:val="20"/>
              </w:rPr>
              <w:t>bein</w:t>
            </w:r>
            <w:r w:rsidR="000F34CD">
              <w:rPr>
                <w:rFonts w:cs="Arial"/>
                <w:sz w:val="20"/>
                <w:szCs w:val="20"/>
              </w:rPr>
              <w:t>g presented (separately at the meeting</w:t>
            </w:r>
            <w:r w:rsidR="000578C4" w:rsidRPr="000578C4">
              <w:rPr>
                <w:rFonts w:cs="Arial"/>
                <w:sz w:val="20"/>
                <w:szCs w:val="20"/>
              </w:rPr>
              <w:t>) as the basis of forward financial plans, with approval of 2020/21 budgets to be requested at November Council.</w:t>
            </w:r>
          </w:p>
          <w:p w14:paraId="612898E9" w14:textId="77777777" w:rsidR="001E5B29" w:rsidRDefault="001E5B29" w:rsidP="000578C4">
            <w:pPr>
              <w:rPr>
                <w:rFonts w:cs="Arial"/>
                <w:sz w:val="20"/>
                <w:szCs w:val="20"/>
              </w:rPr>
            </w:pPr>
          </w:p>
          <w:p w14:paraId="6D7EFA4F" w14:textId="77777777" w:rsidR="001E5B29" w:rsidRDefault="000D19BA" w:rsidP="000578C4">
            <w:pPr>
              <w:rPr>
                <w:rFonts w:cs="Arial"/>
                <w:sz w:val="20"/>
                <w:szCs w:val="20"/>
              </w:rPr>
            </w:pPr>
            <w:r>
              <w:rPr>
                <w:rFonts w:cs="Arial"/>
                <w:sz w:val="20"/>
                <w:szCs w:val="20"/>
              </w:rPr>
              <w:t>(iii</w:t>
            </w:r>
            <w:r w:rsidR="001E5B29">
              <w:rPr>
                <w:rFonts w:cs="Arial"/>
                <w:sz w:val="20"/>
                <w:szCs w:val="20"/>
              </w:rPr>
              <w:t>) Scenario Planning</w:t>
            </w:r>
          </w:p>
          <w:p w14:paraId="3B559678" w14:textId="77777777" w:rsidR="001E5B29" w:rsidRDefault="001E5B29" w:rsidP="000578C4">
            <w:pPr>
              <w:rPr>
                <w:rFonts w:cs="Arial"/>
                <w:sz w:val="20"/>
                <w:szCs w:val="20"/>
              </w:rPr>
            </w:pPr>
          </w:p>
          <w:p w14:paraId="5D7A577A" w14:textId="77777777" w:rsidR="001E5B29" w:rsidRDefault="001E5B29" w:rsidP="000578C4">
            <w:pPr>
              <w:rPr>
                <w:rFonts w:cs="Arial"/>
                <w:sz w:val="20"/>
                <w:szCs w:val="20"/>
              </w:rPr>
            </w:pPr>
            <w:r>
              <w:rPr>
                <w:rFonts w:cs="Arial"/>
                <w:sz w:val="20"/>
                <w:szCs w:val="20"/>
              </w:rPr>
              <w:t>Council received a presentation from the Executive Director, Finance &amp; Planning which set out</w:t>
            </w:r>
            <w:r w:rsidRPr="001E5B29">
              <w:rPr>
                <w:rFonts w:cs="Arial"/>
                <w:sz w:val="20"/>
                <w:szCs w:val="20"/>
              </w:rPr>
              <w:t xml:space="preserve"> the principal scenario as </w:t>
            </w:r>
            <w:r>
              <w:rPr>
                <w:rFonts w:cs="Arial"/>
                <w:sz w:val="20"/>
                <w:szCs w:val="20"/>
              </w:rPr>
              <w:t xml:space="preserve">a </w:t>
            </w:r>
            <w:r w:rsidRPr="001E5B29">
              <w:rPr>
                <w:rFonts w:cs="Arial"/>
                <w:sz w:val="20"/>
                <w:szCs w:val="20"/>
              </w:rPr>
              <w:t>basis of</w:t>
            </w:r>
            <w:r>
              <w:rPr>
                <w:rFonts w:cs="Arial"/>
                <w:sz w:val="20"/>
                <w:szCs w:val="20"/>
              </w:rPr>
              <w:t xml:space="preserve"> forward financial plans and </w:t>
            </w:r>
            <w:r w:rsidRPr="001E5B29">
              <w:rPr>
                <w:rFonts w:cs="Arial"/>
                <w:sz w:val="20"/>
                <w:szCs w:val="20"/>
              </w:rPr>
              <w:t>provide</w:t>
            </w:r>
            <w:r>
              <w:rPr>
                <w:rFonts w:cs="Arial"/>
                <w:sz w:val="20"/>
                <w:szCs w:val="20"/>
              </w:rPr>
              <w:t>d</w:t>
            </w:r>
            <w:r w:rsidRPr="001E5B29">
              <w:rPr>
                <w:rFonts w:cs="Arial"/>
                <w:sz w:val="20"/>
                <w:szCs w:val="20"/>
              </w:rPr>
              <w:t xml:space="preserve"> an overview of mitigating actions and timelines for decisions</w:t>
            </w:r>
            <w:r>
              <w:rPr>
                <w:rFonts w:cs="Arial"/>
                <w:sz w:val="20"/>
                <w:szCs w:val="20"/>
              </w:rPr>
              <w:t>.</w:t>
            </w:r>
          </w:p>
          <w:p w14:paraId="397AD403" w14:textId="77777777" w:rsidR="001E5B29" w:rsidRDefault="001E5B29" w:rsidP="000578C4">
            <w:pPr>
              <w:rPr>
                <w:rFonts w:cs="Arial"/>
                <w:sz w:val="20"/>
                <w:szCs w:val="20"/>
              </w:rPr>
            </w:pPr>
          </w:p>
          <w:p w14:paraId="3824581F" w14:textId="4C5B53C4" w:rsidR="001E5B29" w:rsidRDefault="001E5B29" w:rsidP="000578C4">
            <w:pPr>
              <w:rPr>
                <w:rFonts w:cs="Arial"/>
                <w:sz w:val="20"/>
                <w:szCs w:val="20"/>
              </w:rPr>
            </w:pPr>
            <w:r>
              <w:rPr>
                <w:rFonts w:cs="Arial"/>
                <w:sz w:val="20"/>
                <w:szCs w:val="20"/>
              </w:rPr>
              <w:t>The pace and scale of the wide</w:t>
            </w:r>
            <w:r w:rsidR="007D5433">
              <w:rPr>
                <w:rFonts w:cs="Arial"/>
                <w:sz w:val="20"/>
                <w:szCs w:val="20"/>
              </w:rPr>
              <w:t>-</w:t>
            </w:r>
            <w:r>
              <w:rPr>
                <w:rFonts w:cs="Arial"/>
                <w:sz w:val="20"/>
                <w:szCs w:val="20"/>
              </w:rPr>
              <w:t>ranging changes within the HE sector was set out with key milestones and highlights, also adding that there was much uncertainty as the summer progressed. Immediate challenges were:</w:t>
            </w:r>
          </w:p>
          <w:p w14:paraId="65557FB7" w14:textId="77777777" w:rsidR="001E5B29" w:rsidRDefault="001E5B29" w:rsidP="000578C4">
            <w:pPr>
              <w:rPr>
                <w:rFonts w:cs="Arial"/>
                <w:sz w:val="20"/>
                <w:szCs w:val="20"/>
              </w:rPr>
            </w:pPr>
          </w:p>
          <w:p w14:paraId="1C11833F" w14:textId="77777777" w:rsidR="001E5B29" w:rsidRPr="001E5B29" w:rsidRDefault="001E5B29" w:rsidP="00FE7CCD">
            <w:pPr>
              <w:pStyle w:val="ListParagraph"/>
              <w:numPr>
                <w:ilvl w:val="0"/>
                <w:numId w:val="7"/>
              </w:numPr>
              <w:rPr>
                <w:rFonts w:cs="Arial"/>
                <w:sz w:val="20"/>
                <w:szCs w:val="20"/>
              </w:rPr>
            </w:pPr>
            <w:r w:rsidRPr="001E5B29">
              <w:rPr>
                <w:rFonts w:cs="Arial"/>
                <w:sz w:val="20"/>
                <w:szCs w:val="20"/>
              </w:rPr>
              <w:t>Keeping our community safe</w:t>
            </w:r>
          </w:p>
          <w:p w14:paraId="66E4D3B6" w14:textId="66A95B78" w:rsidR="001E5B29" w:rsidRPr="001E5B29" w:rsidRDefault="001E5B29" w:rsidP="00FE7CCD">
            <w:pPr>
              <w:pStyle w:val="ListParagraph"/>
              <w:numPr>
                <w:ilvl w:val="0"/>
                <w:numId w:val="7"/>
              </w:numPr>
              <w:rPr>
                <w:rFonts w:cs="Arial"/>
                <w:sz w:val="20"/>
                <w:szCs w:val="20"/>
              </w:rPr>
            </w:pPr>
            <w:r w:rsidRPr="001E5B29">
              <w:rPr>
                <w:rFonts w:cs="Arial"/>
                <w:sz w:val="20"/>
                <w:szCs w:val="20"/>
              </w:rPr>
              <w:t>Reacting with agility to the fast</w:t>
            </w:r>
            <w:r w:rsidR="007D5433">
              <w:rPr>
                <w:rFonts w:cs="Arial"/>
                <w:sz w:val="20"/>
                <w:szCs w:val="20"/>
              </w:rPr>
              <w:t>-</w:t>
            </w:r>
            <w:r w:rsidRPr="001E5B29">
              <w:rPr>
                <w:rFonts w:cs="Arial"/>
                <w:sz w:val="20"/>
                <w:szCs w:val="20"/>
              </w:rPr>
              <w:t>paced changes</w:t>
            </w:r>
          </w:p>
          <w:p w14:paraId="739AE66C" w14:textId="77777777" w:rsidR="001E5B29" w:rsidRPr="001E5B29" w:rsidRDefault="001E5B29" w:rsidP="00FE7CCD">
            <w:pPr>
              <w:pStyle w:val="ListParagraph"/>
              <w:numPr>
                <w:ilvl w:val="0"/>
                <w:numId w:val="7"/>
              </w:numPr>
              <w:rPr>
                <w:rFonts w:cs="Arial"/>
                <w:sz w:val="20"/>
                <w:szCs w:val="20"/>
              </w:rPr>
            </w:pPr>
            <w:r w:rsidRPr="001E5B29">
              <w:rPr>
                <w:rFonts w:cs="Arial"/>
                <w:sz w:val="20"/>
                <w:szCs w:val="20"/>
              </w:rPr>
              <w:t>Providing excellence in education and research</w:t>
            </w:r>
          </w:p>
          <w:p w14:paraId="1886C05D" w14:textId="77777777" w:rsidR="001E5B29" w:rsidRPr="001E5B29" w:rsidRDefault="001E5B29" w:rsidP="00FE7CCD">
            <w:pPr>
              <w:pStyle w:val="ListParagraph"/>
              <w:numPr>
                <w:ilvl w:val="0"/>
                <w:numId w:val="7"/>
              </w:numPr>
              <w:rPr>
                <w:rFonts w:cs="Arial"/>
                <w:sz w:val="20"/>
                <w:szCs w:val="20"/>
              </w:rPr>
            </w:pPr>
            <w:r w:rsidRPr="001E5B29">
              <w:rPr>
                <w:rFonts w:cs="Arial"/>
                <w:sz w:val="20"/>
                <w:szCs w:val="20"/>
              </w:rPr>
              <w:t>Mitigating against revenue loses</w:t>
            </w:r>
          </w:p>
          <w:p w14:paraId="048E5E78" w14:textId="77777777" w:rsidR="001E5B29" w:rsidRDefault="001E5B29" w:rsidP="00FE7CCD">
            <w:pPr>
              <w:pStyle w:val="ListParagraph"/>
              <w:numPr>
                <w:ilvl w:val="0"/>
                <w:numId w:val="7"/>
              </w:numPr>
              <w:rPr>
                <w:rFonts w:cs="Arial"/>
                <w:sz w:val="20"/>
                <w:szCs w:val="20"/>
              </w:rPr>
            </w:pPr>
            <w:r w:rsidRPr="001E5B29">
              <w:rPr>
                <w:rFonts w:cs="Arial"/>
                <w:sz w:val="20"/>
                <w:szCs w:val="20"/>
              </w:rPr>
              <w:t>Investing in quality improvements</w:t>
            </w:r>
          </w:p>
          <w:p w14:paraId="64CADB49" w14:textId="77777777" w:rsidR="001E5B29" w:rsidRDefault="001E5B29" w:rsidP="001E5B29">
            <w:pPr>
              <w:ind w:left="360"/>
              <w:rPr>
                <w:rFonts w:cs="Arial"/>
                <w:sz w:val="20"/>
                <w:szCs w:val="20"/>
              </w:rPr>
            </w:pPr>
          </w:p>
          <w:p w14:paraId="554B7A7A" w14:textId="77777777" w:rsidR="001E5B29" w:rsidRDefault="001E5B29" w:rsidP="001E5B29">
            <w:pPr>
              <w:rPr>
                <w:rFonts w:cs="Arial"/>
                <w:sz w:val="20"/>
                <w:szCs w:val="20"/>
              </w:rPr>
            </w:pPr>
            <w:r>
              <w:rPr>
                <w:rFonts w:cs="Arial"/>
                <w:sz w:val="20"/>
                <w:szCs w:val="20"/>
              </w:rPr>
              <w:t>The response to those challenges was noted.</w:t>
            </w:r>
          </w:p>
          <w:p w14:paraId="4BA676EE" w14:textId="0A26FF8F" w:rsidR="001E5B29" w:rsidRPr="001E5B29" w:rsidRDefault="001E5B29" w:rsidP="001E5B29">
            <w:pPr>
              <w:rPr>
                <w:rFonts w:cs="Arial"/>
                <w:sz w:val="20"/>
                <w:szCs w:val="20"/>
              </w:rPr>
            </w:pPr>
            <w:r>
              <w:rPr>
                <w:rFonts w:cs="Arial"/>
                <w:sz w:val="20"/>
                <w:szCs w:val="20"/>
              </w:rPr>
              <w:t>At the beginning of Covid-19 there was a</w:t>
            </w:r>
            <w:r w:rsidRPr="001E5B29">
              <w:rPr>
                <w:rFonts w:cs="Arial"/>
                <w:sz w:val="20"/>
                <w:szCs w:val="20"/>
              </w:rPr>
              <w:t xml:space="preserve"> forec</w:t>
            </w:r>
            <w:r>
              <w:rPr>
                <w:rFonts w:cs="Arial"/>
                <w:sz w:val="20"/>
                <w:szCs w:val="20"/>
              </w:rPr>
              <w:t>asted significant revenue drop for this year. T</w:t>
            </w:r>
            <w:r w:rsidRPr="001E5B29">
              <w:rPr>
                <w:rFonts w:cs="Arial"/>
                <w:sz w:val="20"/>
                <w:szCs w:val="20"/>
              </w:rPr>
              <w:t xml:space="preserve">he </w:t>
            </w:r>
            <w:r w:rsidR="007D5433">
              <w:rPr>
                <w:rFonts w:cs="Arial"/>
                <w:sz w:val="20"/>
                <w:szCs w:val="20"/>
              </w:rPr>
              <w:t>U</w:t>
            </w:r>
            <w:r w:rsidRPr="001E5B29">
              <w:rPr>
                <w:rFonts w:cs="Arial"/>
                <w:sz w:val="20"/>
                <w:szCs w:val="20"/>
              </w:rPr>
              <w:t>niversity was asked to respond by o</w:t>
            </w:r>
            <w:r>
              <w:rPr>
                <w:rFonts w:cs="Arial"/>
                <w:sz w:val="20"/>
                <w:szCs w:val="20"/>
              </w:rPr>
              <w:t>nly spending on essential items and now a £30m surplus for 2019/20 (</w:t>
            </w:r>
            <w:r w:rsidRPr="001E5B29">
              <w:rPr>
                <w:rFonts w:cs="Arial"/>
                <w:sz w:val="20"/>
                <w:szCs w:val="20"/>
              </w:rPr>
              <w:t>£20m above plan</w:t>
            </w:r>
            <w:r>
              <w:rPr>
                <w:rFonts w:cs="Arial"/>
                <w:sz w:val="20"/>
                <w:szCs w:val="20"/>
              </w:rPr>
              <w:t>) was forecast.</w:t>
            </w:r>
          </w:p>
          <w:p w14:paraId="4C2D75C8" w14:textId="77777777" w:rsidR="001E5B29" w:rsidRPr="001E5B29" w:rsidRDefault="001E5B29" w:rsidP="001E5B29">
            <w:pPr>
              <w:rPr>
                <w:rFonts w:cs="Arial"/>
                <w:sz w:val="20"/>
                <w:szCs w:val="20"/>
              </w:rPr>
            </w:pPr>
          </w:p>
          <w:p w14:paraId="070C5406" w14:textId="77777777" w:rsidR="001E5B29" w:rsidRPr="001E5B29" w:rsidRDefault="001E5B29" w:rsidP="001E5B29">
            <w:pPr>
              <w:rPr>
                <w:rFonts w:cs="Arial"/>
                <w:sz w:val="20"/>
                <w:szCs w:val="20"/>
              </w:rPr>
            </w:pPr>
            <w:r w:rsidRPr="001E5B29">
              <w:rPr>
                <w:rFonts w:cs="Arial"/>
                <w:sz w:val="20"/>
                <w:szCs w:val="20"/>
              </w:rPr>
              <w:t>The drop in revenue h</w:t>
            </w:r>
            <w:r>
              <w:rPr>
                <w:rFonts w:cs="Arial"/>
                <w:sz w:val="20"/>
                <w:szCs w:val="20"/>
              </w:rPr>
              <w:t xml:space="preserve">as been mitigated through </w:t>
            </w:r>
            <w:r w:rsidRPr="001E5B29">
              <w:rPr>
                <w:rFonts w:cs="Arial"/>
                <w:sz w:val="20"/>
                <w:szCs w:val="20"/>
              </w:rPr>
              <w:t>cost saving measures:</w:t>
            </w:r>
          </w:p>
          <w:p w14:paraId="7F001FE6" w14:textId="77777777" w:rsidR="001E5B29" w:rsidRPr="001E5B29" w:rsidRDefault="001E5B29" w:rsidP="001E5B29">
            <w:pPr>
              <w:rPr>
                <w:rFonts w:cs="Arial"/>
                <w:sz w:val="20"/>
                <w:szCs w:val="20"/>
              </w:rPr>
            </w:pPr>
          </w:p>
          <w:p w14:paraId="42D4C3D3" w14:textId="77777777" w:rsidR="001E5B29" w:rsidRPr="001E5B29" w:rsidRDefault="001E5B29" w:rsidP="00FE7CCD">
            <w:pPr>
              <w:pStyle w:val="ListParagraph"/>
              <w:numPr>
                <w:ilvl w:val="0"/>
                <w:numId w:val="8"/>
              </w:numPr>
              <w:rPr>
                <w:rFonts w:cs="Arial"/>
                <w:sz w:val="20"/>
                <w:szCs w:val="20"/>
              </w:rPr>
            </w:pPr>
            <w:r w:rsidRPr="001E5B29">
              <w:rPr>
                <w:rFonts w:cs="Arial"/>
                <w:sz w:val="20"/>
                <w:szCs w:val="20"/>
              </w:rPr>
              <w:t>Reduction in travel</w:t>
            </w:r>
          </w:p>
          <w:p w14:paraId="7769467F" w14:textId="77777777" w:rsidR="001E5B29" w:rsidRPr="001E5B29" w:rsidRDefault="001E5B29" w:rsidP="00FE7CCD">
            <w:pPr>
              <w:pStyle w:val="ListParagraph"/>
              <w:numPr>
                <w:ilvl w:val="0"/>
                <w:numId w:val="8"/>
              </w:numPr>
              <w:rPr>
                <w:rFonts w:cs="Arial"/>
                <w:sz w:val="20"/>
                <w:szCs w:val="20"/>
              </w:rPr>
            </w:pPr>
            <w:r w:rsidRPr="001E5B29">
              <w:rPr>
                <w:rFonts w:cs="Arial"/>
                <w:sz w:val="20"/>
                <w:szCs w:val="20"/>
              </w:rPr>
              <w:t>Heating and energy bills</w:t>
            </w:r>
          </w:p>
          <w:p w14:paraId="1CC275F8" w14:textId="77777777" w:rsidR="001E5B29" w:rsidRPr="001E5B29" w:rsidRDefault="001E5B29" w:rsidP="00FE7CCD">
            <w:pPr>
              <w:pStyle w:val="ListParagraph"/>
              <w:numPr>
                <w:ilvl w:val="0"/>
                <w:numId w:val="8"/>
              </w:numPr>
              <w:rPr>
                <w:rFonts w:cs="Arial"/>
                <w:sz w:val="20"/>
                <w:szCs w:val="20"/>
              </w:rPr>
            </w:pPr>
            <w:r w:rsidRPr="001E5B29">
              <w:rPr>
                <w:rFonts w:cs="Arial"/>
                <w:sz w:val="20"/>
                <w:szCs w:val="20"/>
              </w:rPr>
              <w:t>Slowing staff recruitment</w:t>
            </w:r>
          </w:p>
          <w:p w14:paraId="6B345A12" w14:textId="77777777" w:rsidR="001E5B29" w:rsidRPr="001E5B29" w:rsidRDefault="001E5B29" w:rsidP="00FE7CCD">
            <w:pPr>
              <w:pStyle w:val="ListParagraph"/>
              <w:numPr>
                <w:ilvl w:val="0"/>
                <w:numId w:val="8"/>
              </w:numPr>
              <w:rPr>
                <w:rFonts w:cs="Arial"/>
                <w:sz w:val="20"/>
                <w:szCs w:val="20"/>
              </w:rPr>
            </w:pPr>
            <w:r w:rsidRPr="001E5B29">
              <w:rPr>
                <w:rFonts w:cs="Arial"/>
                <w:sz w:val="20"/>
                <w:szCs w:val="20"/>
              </w:rPr>
              <w:t>Reviewing project spend</w:t>
            </w:r>
          </w:p>
          <w:p w14:paraId="52706078" w14:textId="77777777" w:rsidR="001E5B29" w:rsidRPr="001E5B29" w:rsidRDefault="001E5B29" w:rsidP="001E5B29">
            <w:pPr>
              <w:rPr>
                <w:rFonts w:cs="Arial"/>
                <w:sz w:val="20"/>
                <w:szCs w:val="20"/>
              </w:rPr>
            </w:pPr>
          </w:p>
          <w:p w14:paraId="3C31C638" w14:textId="77777777" w:rsidR="00C93E13" w:rsidRDefault="00C93E13" w:rsidP="001E5B29">
            <w:pPr>
              <w:rPr>
                <w:rFonts w:cs="Arial"/>
                <w:sz w:val="20"/>
                <w:szCs w:val="20"/>
              </w:rPr>
            </w:pPr>
          </w:p>
          <w:p w14:paraId="5C8E1807" w14:textId="77777777" w:rsidR="00C93E13" w:rsidRDefault="00C93E13" w:rsidP="001E5B29">
            <w:pPr>
              <w:rPr>
                <w:rFonts w:cs="Arial"/>
                <w:sz w:val="20"/>
                <w:szCs w:val="20"/>
              </w:rPr>
            </w:pPr>
            <w:r>
              <w:rPr>
                <w:rFonts w:cs="Arial"/>
                <w:sz w:val="20"/>
                <w:szCs w:val="20"/>
              </w:rPr>
              <w:t xml:space="preserve">The approach and assumptions for calculating the future years’ financial position was noted together with the </w:t>
            </w:r>
            <w:r w:rsidR="007D5433">
              <w:rPr>
                <w:rFonts w:cs="Arial"/>
                <w:sz w:val="20"/>
                <w:szCs w:val="20"/>
              </w:rPr>
              <w:t xml:space="preserve">potential </w:t>
            </w:r>
            <w:r>
              <w:rPr>
                <w:rFonts w:cs="Arial"/>
                <w:sz w:val="20"/>
                <w:szCs w:val="20"/>
              </w:rPr>
              <w:t>unmitigated and mitigated outcomes. The student numbers and predicted recruitment outcomes were then presented for the next 5 years, together with cash and covenant scenarios.</w:t>
            </w:r>
          </w:p>
          <w:p w14:paraId="523C9B89" w14:textId="77777777" w:rsidR="00C93E13" w:rsidRDefault="00C93E13" w:rsidP="001E5B29">
            <w:pPr>
              <w:rPr>
                <w:rFonts w:cs="Arial"/>
                <w:sz w:val="20"/>
                <w:szCs w:val="20"/>
              </w:rPr>
            </w:pPr>
          </w:p>
          <w:p w14:paraId="7A27AC2F" w14:textId="3CCB0CFB" w:rsidR="00C93E13" w:rsidRDefault="00C93E13" w:rsidP="001E5B29">
            <w:pPr>
              <w:rPr>
                <w:rFonts w:cs="Arial"/>
                <w:sz w:val="20"/>
                <w:szCs w:val="20"/>
              </w:rPr>
            </w:pPr>
            <w:r>
              <w:rPr>
                <w:rFonts w:cs="Arial"/>
                <w:sz w:val="20"/>
                <w:szCs w:val="20"/>
              </w:rPr>
              <w:t xml:space="preserve">A range of mitigation plans </w:t>
            </w:r>
            <w:r w:rsidR="000945DD">
              <w:rPr>
                <w:rFonts w:cs="Arial"/>
                <w:sz w:val="20"/>
                <w:szCs w:val="20"/>
              </w:rPr>
              <w:t xml:space="preserve">was </w:t>
            </w:r>
            <w:r>
              <w:rPr>
                <w:rFonts w:cs="Arial"/>
                <w:sz w:val="20"/>
                <w:szCs w:val="20"/>
              </w:rPr>
              <w:t>then outlined including non-staff savings and staff savings together with a timeline for decision-making.</w:t>
            </w:r>
            <w:r w:rsidR="00694E5D">
              <w:rPr>
                <w:rFonts w:cs="Arial"/>
                <w:sz w:val="20"/>
                <w:szCs w:val="20"/>
              </w:rPr>
              <w:t xml:space="preserve"> Outcomes for student surveys and league tables were also presented and noted.</w:t>
            </w:r>
          </w:p>
          <w:p w14:paraId="5F0589F9" w14:textId="77777777" w:rsidR="00694E5D" w:rsidRDefault="00694E5D" w:rsidP="001E5B29">
            <w:pPr>
              <w:rPr>
                <w:rFonts w:cs="Arial"/>
                <w:sz w:val="20"/>
                <w:szCs w:val="20"/>
              </w:rPr>
            </w:pPr>
          </w:p>
          <w:p w14:paraId="728AFBE2" w14:textId="77777777" w:rsidR="00694E5D" w:rsidRDefault="00694E5D" w:rsidP="001E5B29">
            <w:pPr>
              <w:rPr>
                <w:rFonts w:cs="Arial"/>
                <w:sz w:val="20"/>
                <w:szCs w:val="20"/>
              </w:rPr>
            </w:pPr>
            <w:r>
              <w:rPr>
                <w:rFonts w:cs="Arial"/>
                <w:sz w:val="20"/>
                <w:szCs w:val="20"/>
              </w:rPr>
              <w:t>Next steps in the process were identified as:</w:t>
            </w:r>
          </w:p>
          <w:p w14:paraId="58EDF28E" w14:textId="77777777" w:rsidR="001723B1" w:rsidRDefault="001723B1" w:rsidP="001E5B29">
            <w:pPr>
              <w:rPr>
                <w:rFonts w:cs="Arial"/>
                <w:sz w:val="20"/>
                <w:szCs w:val="20"/>
              </w:rPr>
            </w:pPr>
          </w:p>
          <w:p w14:paraId="3B7F0954" w14:textId="77777777" w:rsidR="00694E5D" w:rsidRPr="001723B1" w:rsidRDefault="00694E5D" w:rsidP="00FE7CCD">
            <w:pPr>
              <w:pStyle w:val="ListParagraph"/>
              <w:numPr>
                <w:ilvl w:val="0"/>
                <w:numId w:val="9"/>
              </w:numPr>
              <w:rPr>
                <w:rFonts w:cs="Arial"/>
                <w:sz w:val="20"/>
                <w:szCs w:val="20"/>
              </w:rPr>
            </w:pPr>
            <w:r w:rsidRPr="00694E5D">
              <w:rPr>
                <w:rFonts w:cs="Arial"/>
                <w:sz w:val="20"/>
                <w:szCs w:val="20"/>
              </w:rPr>
              <w:t>Implementation of exp</w:t>
            </w:r>
            <w:r w:rsidR="001723B1">
              <w:rPr>
                <w:rFonts w:cs="Arial"/>
                <w:sz w:val="20"/>
                <w:szCs w:val="20"/>
              </w:rPr>
              <w:t>enditure control plans</w:t>
            </w:r>
          </w:p>
          <w:p w14:paraId="1395A9E5" w14:textId="77777777" w:rsidR="00694E5D" w:rsidRPr="001723B1" w:rsidRDefault="001723B1" w:rsidP="00FE7CCD">
            <w:pPr>
              <w:pStyle w:val="ListParagraph"/>
              <w:numPr>
                <w:ilvl w:val="0"/>
                <w:numId w:val="9"/>
              </w:numPr>
              <w:rPr>
                <w:rFonts w:cs="Arial"/>
                <w:sz w:val="20"/>
                <w:szCs w:val="20"/>
              </w:rPr>
            </w:pPr>
            <w:r>
              <w:rPr>
                <w:rFonts w:cs="Arial"/>
                <w:sz w:val="20"/>
                <w:szCs w:val="20"/>
              </w:rPr>
              <w:t>Continue to update the</w:t>
            </w:r>
            <w:r w:rsidR="00694E5D" w:rsidRPr="00694E5D">
              <w:rPr>
                <w:rFonts w:cs="Arial"/>
                <w:sz w:val="20"/>
                <w:szCs w:val="20"/>
              </w:rPr>
              <w:t xml:space="preserve"> principal scenario as new insight comes in and feed findings back to UEB</w:t>
            </w:r>
          </w:p>
          <w:p w14:paraId="6FA36984" w14:textId="77777777" w:rsidR="00694E5D" w:rsidRPr="001723B1" w:rsidRDefault="00694E5D" w:rsidP="00FE7CCD">
            <w:pPr>
              <w:pStyle w:val="ListParagraph"/>
              <w:numPr>
                <w:ilvl w:val="0"/>
                <w:numId w:val="9"/>
              </w:numPr>
              <w:rPr>
                <w:rFonts w:cs="Arial"/>
                <w:sz w:val="20"/>
                <w:szCs w:val="20"/>
              </w:rPr>
            </w:pPr>
            <w:r w:rsidRPr="00694E5D">
              <w:rPr>
                <w:rFonts w:cs="Arial"/>
                <w:sz w:val="20"/>
                <w:szCs w:val="20"/>
              </w:rPr>
              <w:t>Continue to consider potential opportunities such as:</w:t>
            </w:r>
          </w:p>
          <w:p w14:paraId="6B13D70D" w14:textId="77777777" w:rsidR="00694E5D" w:rsidRPr="001723B1" w:rsidRDefault="00694E5D" w:rsidP="00FE7CCD">
            <w:pPr>
              <w:pStyle w:val="ListParagraph"/>
              <w:numPr>
                <w:ilvl w:val="0"/>
                <w:numId w:val="10"/>
              </w:numPr>
              <w:rPr>
                <w:rFonts w:cs="Arial"/>
                <w:sz w:val="20"/>
                <w:szCs w:val="20"/>
              </w:rPr>
            </w:pPr>
            <w:r w:rsidRPr="00694E5D">
              <w:rPr>
                <w:rFonts w:cs="Arial"/>
                <w:sz w:val="20"/>
                <w:szCs w:val="20"/>
              </w:rPr>
              <w:t>Online PGT programme pilot</w:t>
            </w:r>
          </w:p>
          <w:p w14:paraId="732DEF5A" w14:textId="77777777" w:rsidR="00694E5D" w:rsidRPr="001723B1" w:rsidRDefault="00694E5D" w:rsidP="00FE7CCD">
            <w:pPr>
              <w:pStyle w:val="ListParagraph"/>
              <w:numPr>
                <w:ilvl w:val="0"/>
                <w:numId w:val="10"/>
              </w:numPr>
              <w:rPr>
                <w:rFonts w:cs="Arial"/>
                <w:sz w:val="20"/>
                <w:szCs w:val="20"/>
              </w:rPr>
            </w:pPr>
            <w:r w:rsidRPr="00694E5D">
              <w:rPr>
                <w:rFonts w:cs="Arial"/>
                <w:sz w:val="20"/>
                <w:szCs w:val="20"/>
              </w:rPr>
              <w:t>Malaysia campus expansion</w:t>
            </w:r>
          </w:p>
          <w:p w14:paraId="4444439C" w14:textId="1526D92F" w:rsidR="00694E5D" w:rsidRPr="001723B1" w:rsidRDefault="00694E5D" w:rsidP="00FE7CCD">
            <w:pPr>
              <w:pStyle w:val="ListParagraph"/>
              <w:numPr>
                <w:ilvl w:val="0"/>
                <w:numId w:val="10"/>
              </w:numPr>
              <w:rPr>
                <w:rFonts w:cs="Arial"/>
                <w:sz w:val="20"/>
                <w:szCs w:val="20"/>
              </w:rPr>
            </w:pPr>
            <w:r w:rsidRPr="001723B1">
              <w:rPr>
                <w:rFonts w:cs="Arial"/>
                <w:sz w:val="20"/>
                <w:szCs w:val="20"/>
              </w:rPr>
              <w:t>Bids for additional allocation for student numbers</w:t>
            </w:r>
          </w:p>
          <w:p w14:paraId="09E29184" w14:textId="77777777" w:rsidR="00694E5D" w:rsidRPr="001723B1" w:rsidRDefault="00694E5D" w:rsidP="00FE7CCD">
            <w:pPr>
              <w:pStyle w:val="ListParagraph"/>
              <w:numPr>
                <w:ilvl w:val="0"/>
                <w:numId w:val="10"/>
              </w:numPr>
              <w:rPr>
                <w:rFonts w:cs="Arial"/>
                <w:sz w:val="20"/>
                <w:szCs w:val="20"/>
              </w:rPr>
            </w:pPr>
            <w:r w:rsidRPr="001723B1">
              <w:rPr>
                <w:rFonts w:cs="Arial"/>
                <w:sz w:val="20"/>
                <w:szCs w:val="20"/>
              </w:rPr>
              <w:t>Environmental sustainability strategy</w:t>
            </w:r>
          </w:p>
          <w:p w14:paraId="53F52043" w14:textId="77777777" w:rsidR="00694E5D" w:rsidRPr="001723B1" w:rsidRDefault="00694E5D" w:rsidP="00FE7CCD">
            <w:pPr>
              <w:pStyle w:val="ListParagraph"/>
              <w:numPr>
                <w:ilvl w:val="0"/>
                <w:numId w:val="11"/>
              </w:numPr>
              <w:rPr>
                <w:rFonts w:cs="Arial"/>
                <w:sz w:val="20"/>
                <w:szCs w:val="20"/>
              </w:rPr>
            </w:pPr>
            <w:r w:rsidRPr="001723B1">
              <w:rPr>
                <w:rFonts w:cs="Arial"/>
                <w:sz w:val="20"/>
                <w:szCs w:val="20"/>
              </w:rPr>
              <w:t>Communicate bridging strategy and KPIs to community (post Council)</w:t>
            </w:r>
          </w:p>
          <w:p w14:paraId="7DE383BA" w14:textId="77777777" w:rsidR="00694E5D" w:rsidRPr="001723B1" w:rsidRDefault="00694E5D" w:rsidP="00FE7CCD">
            <w:pPr>
              <w:pStyle w:val="ListParagraph"/>
              <w:numPr>
                <w:ilvl w:val="0"/>
                <w:numId w:val="11"/>
              </w:numPr>
              <w:rPr>
                <w:rFonts w:cs="Arial"/>
                <w:sz w:val="20"/>
                <w:szCs w:val="20"/>
              </w:rPr>
            </w:pPr>
            <w:r w:rsidRPr="001723B1">
              <w:rPr>
                <w:rFonts w:cs="Arial"/>
                <w:sz w:val="20"/>
                <w:szCs w:val="20"/>
              </w:rPr>
              <w:t>Final budget process –delivered to November Council</w:t>
            </w:r>
          </w:p>
          <w:p w14:paraId="1C416B29" w14:textId="77777777" w:rsidR="0056352E" w:rsidRDefault="0056352E" w:rsidP="0056352E">
            <w:pPr>
              <w:rPr>
                <w:rFonts w:cs="Arial"/>
                <w:sz w:val="20"/>
                <w:szCs w:val="20"/>
              </w:rPr>
            </w:pPr>
          </w:p>
          <w:p w14:paraId="14B8CFA6" w14:textId="77777777" w:rsidR="001723B1" w:rsidRDefault="001723B1" w:rsidP="0056352E">
            <w:pPr>
              <w:rPr>
                <w:rFonts w:cs="Arial"/>
                <w:sz w:val="20"/>
                <w:szCs w:val="20"/>
              </w:rPr>
            </w:pPr>
            <w:r w:rsidRPr="001723B1">
              <w:rPr>
                <w:rFonts w:cs="Arial"/>
                <w:b/>
                <w:sz w:val="20"/>
                <w:szCs w:val="20"/>
              </w:rPr>
              <w:t>RESOLVED</w:t>
            </w:r>
            <w:r>
              <w:rPr>
                <w:rFonts w:cs="Arial"/>
                <w:sz w:val="20"/>
                <w:szCs w:val="20"/>
              </w:rPr>
              <w:t xml:space="preserve"> that option 2 (staff and non-staff savings) scenario be endorsed.</w:t>
            </w:r>
          </w:p>
          <w:p w14:paraId="1102DF49" w14:textId="77777777" w:rsidR="000D19BA" w:rsidRDefault="000D19BA" w:rsidP="0056352E">
            <w:pPr>
              <w:rPr>
                <w:rFonts w:cs="Arial"/>
                <w:sz w:val="20"/>
                <w:szCs w:val="20"/>
              </w:rPr>
            </w:pPr>
          </w:p>
          <w:p w14:paraId="363CAE0A" w14:textId="77777777" w:rsidR="000D19BA" w:rsidRDefault="000D19BA" w:rsidP="0056352E">
            <w:pPr>
              <w:rPr>
                <w:rFonts w:cs="Arial"/>
                <w:sz w:val="20"/>
                <w:szCs w:val="20"/>
              </w:rPr>
            </w:pPr>
            <w:r>
              <w:rPr>
                <w:rFonts w:cs="Arial"/>
                <w:sz w:val="20"/>
                <w:szCs w:val="20"/>
              </w:rPr>
              <w:t>(iv) May Management Accounts</w:t>
            </w:r>
          </w:p>
          <w:p w14:paraId="50ED8A27" w14:textId="77777777" w:rsidR="000D19BA" w:rsidRDefault="000D19BA" w:rsidP="0056352E">
            <w:pPr>
              <w:rPr>
                <w:rFonts w:cs="Arial"/>
                <w:sz w:val="20"/>
                <w:szCs w:val="20"/>
              </w:rPr>
            </w:pPr>
          </w:p>
          <w:p w14:paraId="43D9CFD0" w14:textId="0E669773" w:rsidR="000D19BA" w:rsidRDefault="000D19BA" w:rsidP="000D19BA">
            <w:pPr>
              <w:rPr>
                <w:rFonts w:cs="Arial"/>
                <w:sz w:val="20"/>
                <w:szCs w:val="20"/>
              </w:rPr>
            </w:pPr>
            <w:r>
              <w:rPr>
                <w:rFonts w:cs="Arial"/>
                <w:sz w:val="20"/>
                <w:szCs w:val="20"/>
              </w:rPr>
              <w:t>The report presented</w:t>
            </w:r>
            <w:r w:rsidRPr="000D19BA">
              <w:rPr>
                <w:rFonts w:cs="Arial"/>
                <w:sz w:val="20"/>
                <w:szCs w:val="20"/>
              </w:rPr>
              <w:t xml:space="preserve"> the management accounts for financial year 2</w:t>
            </w:r>
            <w:r>
              <w:rPr>
                <w:rFonts w:cs="Arial"/>
                <w:sz w:val="20"/>
                <w:szCs w:val="20"/>
              </w:rPr>
              <w:t xml:space="preserve">019/20 as at May 2020. The interim update </w:t>
            </w:r>
            <w:r w:rsidRPr="000D19BA">
              <w:rPr>
                <w:rFonts w:cs="Arial"/>
                <w:sz w:val="20"/>
                <w:szCs w:val="20"/>
              </w:rPr>
              <w:t>focus</w:t>
            </w:r>
            <w:r>
              <w:rPr>
                <w:rFonts w:cs="Arial"/>
                <w:sz w:val="20"/>
                <w:szCs w:val="20"/>
              </w:rPr>
              <w:t>sed</w:t>
            </w:r>
            <w:r w:rsidRPr="000D19BA">
              <w:rPr>
                <w:rFonts w:cs="Arial"/>
                <w:sz w:val="20"/>
                <w:szCs w:val="20"/>
              </w:rPr>
              <w:t xml:space="preserve"> on changes to the income and expenditure forecast since the April 2020 management accounts. The a</w:t>
            </w:r>
            <w:r>
              <w:rPr>
                <w:rFonts w:cs="Arial"/>
                <w:sz w:val="20"/>
                <w:szCs w:val="20"/>
              </w:rPr>
              <w:t>ccounts next month for June would</w:t>
            </w:r>
            <w:r w:rsidRPr="000D19BA">
              <w:rPr>
                <w:rFonts w:cs="Arial"/>
                <w:sz w:val="20"/>
                <w:szCs w:val="20"/>
              </w:rPr>
              <w:t xml:space="preserve"> include the final forecast for the year following a full review and update.</w:t>
            </w:r>
          </w:p>
          <w:p w14:paraId="160629A5" w14:textId="77777777" w:rsidR="000D19BA" w:rsidRPr="000D19BA" w:rsidRDefault="000D19BA" w:rsidP="000D19BA">
            <w:pPr>
              <w:rPr>
                <w:rFonts w:cs="Arial"/>
                <w:sz w:val="20"/>
                <w:szCs w:val="20"/>
              </w:rPr>
            </w:pPr>
          </w:p>
          <w:p w14:paraId="05785292" w14:textId="77777777" w:rsidR="000D19BA" w:rsidRDefault="000D19BA" w:rsidP="000D19BA">
            <w:pPr>
              <w:rPr>
                <w:rFonts w:cs="Arial"/>
                <w:sz w:val="20"/>
                <w:szCs w:val="20"/>
              </w:rPr>
            </w:pPr>
            <w:r w:rsidRPr="000D19BA">
              <w:rPr>
                <w:rFonts w:cs="Arial"/>
                <w:sz w:val="20"/>
                <w:szCs w:val="20"/>
              </w:rPr>
              <w:lastRenderedPageBreak/>
              <w:t>Known financial impac</w:t>
            </w:r>
            <w:r>
              <w:rPr>
                <w:rFonts w:cs="Arial"/>
                <w:sz w:val="20"/>
                <w:szCs w:val="20"/>
              </w:rPr>
              <w:t>ts of the Covid-19 pandemic had</w:t>
            </w:r>
            <w:r w:rsidRPr="000D19BA">
              <w:rPr>
                <w:rFonts w:cs="Arial"/>
                <w:sz w:val="20"/>
                <w:szCs w:val="20"/>
              </w:rPr>
              <w:t xml:space="preserve"> been included in the f</w:t>
            </w:r>
            <w:r>
              <w:rPr>
                <w:rFonts w:cs="Arial"/>
                <w:sz w:val="20"/>
                <w:szCs w:val="20"/>
              </w:rPr>
              <w:t>orecasts, however, there remained</w:t>
            </w:r>
            <w:r w:rsidRPr="000D19BA">
              <w:rPr>
                <w:rFonts w:cs="Arial"/>
                <w:sz w:val="20"/>
                <w:szCs w:val="20"/>
              </w:rPr>
              <w:t xml:space="preserve"> significant risk </w:t>
            </w:r>
            <w:r>
              <w:rPr>
                <w:rFonts w:cs="Arial"/>
                <w:sz w:val="20"/>
                <w:szCs w:val="20"/>
              </w:rPr>
              <w:t>in many areas. Not all impacts were known at the</w:t>
            </w:r>
            <w:r w:rsidRPr="000D19BA">
              <w:rPr>
                <w:rFonts w:cs="Arial"/>
                <w:sz w:val="20"/>
                <w:szCs w:val="20"/>
              </w:rPr>
              <w:t xml:space="preserve"> time and we will continue to revise our estimates and update them monthly for the remainder of the year.</w:t>
            </w:r>
          </w:p>
          <w:p w14:paraId="74046448" w14:textId="77777777" w:rsidR="000D19BA" w:rsidRDefault="000D19BA" w:rsidP="000D19BA">
            <w:pPr>
              <w:rPr>
                <w:rFonts w:cs="Arial"/>
                <w:sz w:val="20"/>
                <w:szCs w:val="20"/>
              </w:rPr>
            </w:pPr>
          </w:p>
          <w:p w14:paraId="678815AA" w14:textId="77777777" w:rsidR="000D19BA" w:rsidRDefault="000D19BA" w:rsidP="000D19BA">
            <w:pPr>
              <w:rPr>
                <w:rFonts w:cs="Arial"/>
                <w:sz w:val="20"/>
                <w:szCs w:val="20"/>
              </w:rPr>
            </w:pPr>
            <w:r>
              <w:rPr>
                <w:rFonts w:cs="Arial"/>
                <w:sz w:val="20"/>
                <w:szCs w:val="20"/>
              </w:rPr>
              <w:t>RESOLVED that the report be noted.</w:t>
            </w:r>
          </w:p>
          <w:p w14:paraId="6AB4102B" w14:textId="77777777" w:rsidR="001723B1" w:rsidRPr="00600588" w:rsidRDefault="001723B1" w:rsidP="0056352E">
            <w:pPr>
              <w:rPr>
                <w:rFonts w:cs="Arial"/>
                <w:sz w:val="20"/>
                <w:szCs w:val="20"/>
              </w:rPr>
            </w:pPr>
          </w:p>
        </w:tc>
      </w:tr>
      <w:tr w:rsidR="00EE7137" w:rsidRPr="00C879BE" w14:paraId="5A045757"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7913C5C3" w14:textId="77777777" w:rsidR="00EE7137" w:rsidRDefault="000D19BA" w:rsidP="0056352E">
            <w:pPr>
              <w:rPr>
                <w:rFonts w:cs="Arial"/>
                <w:b/>
                <w:sz w:val="20"/>
                <w:szCs w:val="20"/>
              </w:rPr>
            </w:pPr>
            <w:r>
              <w:rPr>
                <w:rFonts w:cs="Arial"/>
                <w:b/>
                <w:sz w:val="20"/>
                <w:szCs w:val="20"/>
              </w:rPr>
              <w:lastRenderedPageBreak/>
              <w:t>110</w:t>
            </w:r>
          </w:p>
        </w:tc>
        <w:tc>
          <w:tcPr>
            <w:tcW w:w="8805" w:type="dxa"/>
            <w:gridSpan w:val="4"/>
            <w:tcBorders>
              <w:top w:val="nil"/>
              <w:left w:val="nil"/>
              <w:bottom w:val="nil"/>
              <w:right w:val="nil"/>
            </w:tcBorders>
            <w:shd w:val="clear" w:color="auto" w:fill="auto"/>
          </w:tcPr>
          <w:p w14:paraId="0696D536" w14:textId="77777777" w:rsidR="00EE7137" w:rsidRDefault="000D19BA" w:rsidP="0056352E">
            <w:pPr>
              <w:rPr>
                <w:rFonts w:cs="Arial"/>
                <w:b/>
                <w:sz w:val="20"/>
                <w:szCs w:val="20"/>
              </w:rPr>
            </w:pPr>
            <w:r>
              <w:rPr>
                <w:rFonts w:cs="Arial"/>
                <w:b/>
                <w:sz w:val="20"/>
                <w:szCs w:val="20"/>
              </w:rPr>
              <w:t>International Strategy - Update</w:t>
            </w:r>
          </w:p>
          <w:p w14:paraId="637E2666" w14:textId="77777777" w:rsidR="00EE7137" w:rsidRDefault="00EE7137" w:rsidP="0056352E">
            <w:pPr>
              <w:rPr>
                <w:rFonts w:cs="Arial"/>
                <w:b/>
                <w:sz w:val="20"/>
                <w:szCs w:val="20"/>
              </w:rPr>
            </w:pPr>
          </w:p>
          <w:p w14:paraId="7993F037" w14:textId="3E71A146" w:rsidR="00E75DA9" w:rsidRDefault="000D19BA" w:rsidP="000D19BA">
            <w:pPr>
              <w:rPr>
                <w:rFonts w:cs="Arial"/>
                <w:sz w:val="20"/>
                <w:szCs w:val="20"/>
              </w:rPr>
            </w:pPr>
            <w:r>
              <w:rPr>
                <w:rFonts w:cs="Arial"/>
                <w:sz w:val="20"/>
                <w:szCs w:val="20"/>
              </w:rPr>
              <w:t xml:space="preserve">Council considered a report by the </w:t>
            </w:r>
            <w:r w:rsidR="007D5433">
              <w:rPr>
                <w:rFonts w:cs="Arial"/>
                <w:sz w:val="20"/>
                <w:szCs w:val="20"/>
              </w:rPr>
              <w:t>Prof</w:t>
            </w:r>
            <w:r w:rsidR="00131404">
              <w:rPr>
                <w:rFonts w:cs="Arial"/>
                <w:sz w:val="20"/>
                <w:szCs w:val="20"/>
              </w:rPr>
              <w:t>essor Jane</w:t>
            </w:r>
            <w:r w:rsidR="007D5433">
              <w:rPr>
                <w:rFonts w:cs="Arial"/>
                <w:sz w:val="20"/>
                <w:szCs w:val="20"/>
              </w:rPr>
              <w:t xml:space="preserve"> Falkingham</w:t>
            </w:r>
            <w:r w:rsidR="004B0F43">
              <w:rPr>
                <w:rFonts w:cs="Arial"/>
                <w:sz w:val="20"/>
                <w:szCs w:val="20"/>
              </w:rPr>
              <w:t>,</w:t>
            </w:r>
            <w:r w:rsidR="007D5433">
              <w:rPr>
                <w:rFonts w:cs="Arial"/>
                <w:sz w:val="20"/>
                <w:szCs w:val="20"/>
              </w:rPr>
              <w:t xml:space="preserve"> who was acting as interim institutional lead on international matters</w:t>
            </w:r>
            <w:r w:rsidR="004B0F43">
              <w:rPr>
                <w:rFonts w:cs="Arial"/>
                <w:sz w:val="20"/>
                <w:szCs w:val="20"/>
              </w:rPr>
              <w:t>,</w:t>
            </w:r>
            <w:r>
              <w:rPr>
                <w:rFonts w:cs="Arial"/>
                <w:sz w:val="20"/>
                <w:szCs w:val="20"/>
              </w:rPr>
              <w:t xml:space="preserve"> which provided</w:t>
            </w:r>
            <w:r w:rsidRPr="000D19BA">
              <w:rPr>
                <w:rFonts w:cs="Arial"/>
                <w:sz w:val="20"/>
                <w:szCs w:val="20"/>
              </w:rPr>
              <w:t xml:space="preserve"> an update on progress </w:t>
            </w:r>
            <w:r w:rsidR="004B0F43">
              <w:rPr>
                <w:rFonts w:cs="Arial"/>
                <w:sz w:val="20"/>
                <w:szCs w:val="20"/>
              </w:rPr>
              <w:t>on</w:t>
            </w:r>
            <w:r w:rsidR="004B0F43" w:rsidRPr="000D19BA">
              <w:rPr>
                <w:rFonts w:cs="Arial"/>
                <w:sz w:val="20"/>
                <w:szCs w:val="20"/>
              </w:rPr>
              <w:t xml:space="preserve"> </w:t>
            </w:r>
            <w:r w:rsidRPr="000D19BA">
              <w:rPr>
                <w:rFonts w:cs="Arial"/>
                <w:sz w:val="20"/>
                <w:szCs w:val="20"/>
              </w:rPr>
              <w:t>the International Strategy presented to Council in Jul</w:t>
            </w:r>
            <w:r>
              <w:rPr>
                <w:rFonts w:cs="Arial"/>
                <w:sz w:val="20"/>
                <w:szCs w:val="20"/>
              </w:rPr>
              <w:t xml:space="preserve">y 2019. </w:t>
            </w:r>
            <w:proofErr w:type="gramStart"/>
            <w:r>
              <w:rPr>
                <w:rFonts w:cs="Arial"/>
                <w:sz w:val="20"/>
                <w:szCs w:val="20"/>
              </w:rPr>
              <w:t>In particular it</w:t>
            </w:r>
            <w:proofErr w:type="gramEnd"/>
            <w:r>
              <w:rPr>
                <w:rFonts w:cs="Arial"/>
                <w:sz w:val="20"/>
                <w:szCs w:val="20"/>
              </w:rPr>
              <w:t xml:space="preserve"> detailed</w:t>
            </w:r>
            <w:r w:rsidRPr="000D19BA">
              <w:rPr>
                <w:rFonts w:cs="Arial"/>
                <w:sz w:val="20"/>
                <w:szCs w:val="20"/>
              </w:rPr>
              <w:t xml:space="preserve"> the activities and focus following the appointment of</w:t>
            </w:r>
            <w:r>
              <w:rPr>
                <w:rFonts w:cs="Arial"/>
                <w:sz w:val="20"/>
                <w:szCs w:val="20"/>
              </w:rPr>
              <w:t xml:space="preserve"> Professor</w:t>
            </w:r>
            <w:r w:rsidRPr="000D19BA">
              <w:rPr>
                <w:rFonts w:cs="Arial"/>
                <w:sz w:val="20"/>
                <w:szCs w:val="20"/>
              </w:rPr>
              <w:t xml:space="preserve"> Falkingham in F</w:t>
            </w:r>
            <w:r>
              <w:rPr>
                <w:rFonts w:cs="Arial"/>
                <w:sz w:val="20"/>
                <w:szCs w:val="20"/>
              </w:rPr>
              <w:t>ebruary 2020. It excluded</w:t>
            </w:r>
            <w:r w:rsidRPr="000D19BA">
              <w:rPr>
                <w:rFonts w:cs="Arial"/>
                <w:sz w:val="20"/>
                <w:szCs w:val="20"/>
              </w:rPr>
              <w:t xml:space="preserve"> </w:t>
            </w:r>
            <w:r>
              <w:rPr>
                <w:rFonts w:cs="Arial"/>
                <w:sz w:val="20"/>
                <w:szCs w:val="20"/>
              </w:rPr>
              <w:t xml:space="preserve">developments relating to the </w:t>
            </w:r>
            <w:proofErr w:type="spellStart"/>
            <w:r>
              <w:rPr>
                <w:rFonts w:cs="Arial"/>
                <w:sz w:val="20"/>
                <w:szCs w:val="20"/>
              </w:rPr>
              <w:t>UoS</w:t>
            </w:r>
            <w:proofErr w:type="spellEnd"/>
            <w:r>
              <w:rPr>
                <w:rFonts w:cs="Arial"/>
                <w:sz w:val="20"/>
                <w:szCs w:val="20"/>
              </w:rPr>
              <w:t xml:space="preserve"> Malaysia campus as Council had</w:t>
            </w:r>
            <w:r w:rsidRPr="000D19BA">
              <w:rPr>
                <w:rFonts w:cs="Arial"/>
                <w:sz w:val="20"/>
                <w:szCs w:val="20"/>
              </w:rPr>
              <w:t xml:space="preserve"> received separate papers pertaining to this.</w:t>
            </w:r>
          </w:p>
          <w:p w14:paraId="3B737407" w14:textId="77777777" w:rsidR="000D19BA" w:rsidRDefault="000D19BA" w:rsidP="000D19BA">
            <w:pPr>
              <w:rPr>
                <w:rFonts w:cs="Arial"/>
                <w:sz w:val="20"/>
                <w:szCs w:val="20"/>
              </w:rPr>
            </w:pPr>
          </w:p>
          <w:p w14:paraId="573708BC" w14:textId="77777777" w:rsidR="000D19BA" w:rsidRDefault="000D19BA" w:rsidP="000D19BA">
            <w:pPr>
              <w:rPr>
                <w:rFonts w:cs="Arial"/>
                <w:sz w:val="20"/>
                <w:szCs w:val="20"/>
              </w:rPr>
            </w:pPr>
            <w:r>
              <w:rPr>
                <w:rFonts w:cs="Arial"/>
                <w:sz w:val="20"/>
                <w:szCs w:val="20"/>
              </w:rPr>
              <w:t>The report summarised the following:</w:t>
            </w:r>
          </w:p>
          <w:p w14:paraId="7556E61E" w14:textId="77777777" w:rsidR="000D19BA" w:rsidRDefault="000D19BA" w:rsidP="000D19BA">
            <w:pPr>
              <w:rPr>
                <w:rFonts w:cs="Arial"/>
                <w:sz w:val="20"/>
                <w:szCs w:val="20"/>
              </w:rPr>
            </w:pPr>
          </w:p>
          <w:p w14:paraId="21C6F43A" w14:textId="77777777" w:rsidR="000D19BA" w:rsidRDefault="000D19BA" w:rsidP="00FE7CCD">
            <w:pPr>
              <w:pStyle w:val="ListParagraph"/>
              <w:numPr>
                <w:ilvl w:val="0"/>
                <w:numId w:val="12"/>
              </w:numPr>
              <w:rPr>
                <w:rFonts w:cs="Arial"/>
                <w:sz w:val="20"/>
                <w:szCs w:val="20"/>
              </w:rPr>
            </w:pPr>
            <w:r>
              <w:rPr>
                <w:rFonts w:cs="Arial"/>
                <w:sz w:val="20"/>
                <w:szCs w:val="20"/>
              </w:rPr>
              <w:t>Activity on global recruitment and admissions</w:t>
            </w:r>
          </w:p>
          <w:p w14:paraId="68941B20" w14:textId="77777777" w:rsidR="000D19BA" w:rsidRDefault="000D19BA" w:rsidP="00FE7CCD">
            <w:pPr>
              <w:pStyle w:val="ListParagraph"/>
              <w:numPr>
                <w:ilvl w:val="0"/>
                <w:numId w:val="12"/>
              </w:numPr>
              <w:rPr>
                <w:rFonts w:cs="Arial"/>
                <w:sz w:val="20"/>
                <w:szCs w:val="20"/>
              </w:rPr>
            </w:pPr>
            <w:r>
              <w:rPr>
                <w:rFonts w:cs="Arial"/>
                <w:sz w:val="20"/>
                <w:szCs w:val="20"/>
              </w:rPr>
              <w:t xml:space="preserve">The Pricing and </w:t>
            </w:r>
            <w:r w:rsidR="00925AAE">
              <w:rPr>
                <w:rFonts w:cs="Arial"/>
                <w:sz w:val="20"/>
                <w:szCs w:val="20"/>
              </w:rPr>
              <w:t>Scholarships</w:t>
            </w:r>
            <w:r>
              <w:rPr>
                <w:rFonts w:cs="Arial"/>
                <w:sz w:val="20"/>
                <w:szCs w:val="20"/>
              </w:rPr>
              <w:t xml:space="preserve"> Project</w:t>
            </w:r>
          </w:p>
          <w:p w14:paraId="14E19476" w14:textId="77777777" w:rsidR="000D19BA" w:rsidRDefault="00925AAE" w:rsidP="00FE7CCD">
            <w:pPr>
              <w:pStyle w:val="ListParagraph"/>
              <w:numPr>
                <w:ilvl w:val="0"/>
                <w:numId w:val="12"/>
              </w:numPr>
              <w:rPr>
                <w:rFonts w:cs="Arial"/>
                <w:sz w:val="20"/>
                <w:szCs w:val="20"/>
              </w:rPr>
            </w:pPr>
            <w:r>
              <w:rPr>
                <w:rFonts w:cs="Arial"/>
                <w:sz w:val="20"/>
                <w:szCs w:val="20"/>
              </w:rPr>
              <w:t>The World Rankings Project</w:t>
            </w:r>
          </w:p>
          <w:p w14:paraId="2D0933AF" w14:textId="77777777" w:rsidR="00925AAE" w:rsidRDefault="00925AAE" w:rsidP="00FE7CCD">
            <w:pPr>
              <w:pStyle w:val="ListParagraph"/>
              <w:numPr>
                <w:ilvl w:val="0"/>
                <w:numId w:val="12"/>
              </w:numPr>
              <w:rPr>
                <w:rFonts w:cs="Arial"/>
                <w:sz w:val="20"/>
                <w:szCs w:val="20"/>
              </w:rPr>
            </w:pPr>
            <w:r>
              <w:rPr>
                <w:rFonts w:cs="Arial"/>
                <w:sz w:val="20"/>
                <w:szCs w:val="20"/>
              </w:rPr>
              <w:t>Webinars to connect with potential international students</w:t>
            </w:r>
          </w:p>
          <w:p w14:paraId="5510789F" w14:textId="77777777" w:rsidR="00925AAE" w:rsidRDefault="00925AAE" w:rsidP="00FE7CCD">
            <w:pPr>
              <w:pStyle w:val="ListParagraph"/>
              <w:numPr>
                <w:ilvl w:val="0"/>
                <w:numId w:val="12"/>
              </w:numPr>
              <w:rPr>
                <w:rFonts w:cs="Arial"/>
                <w:sz w:val="20"/>
                <w:szCs w:val="20"/>
              </w:rPr>
            </w:pPr>
            <w:r>
              <w:rPr>
                <w:rFonts w:cs="Arial"/>
                <w:sz w:val="20"/>
                <w:szCs w:val="20"/>
              </w:rPr>
              <w:t>Reopening of PGT programmes to new applicants</w:t>
            </w:r>
          </w:p>
          <w:p w14:paraId="73F04081" w14:textId="77777777" w:rsidR="00925AAE" w:rsidRPr="00925AAE" w:rsidRDefault="00925AAE" w:rsidP="00FE7CCD">
            <w:pPr>
              <w:pStyle w:val="ListParagraph"/>
              <w:numPr>
                <w:ilvl w:val="0"/>
                <w:numId w:val="12"/>
              </w:numPr>
              <w:rPr>
                <w:rFonts w:cs="Arial"/>
                <w:sz w:val="20"/>
                <w:szCs w:val="20"/>
              </w:rPr>
            </w:pPr>
            <w:r>
              <w:rPr>
                <w:rFonts w:cs="Arial"/>
                <w:sz w:val="20"/>
                <w:szCs w:val="20"/>
              </w:rPr>
              <w:t>Work to maintain the flow of international research grants</w:t>
            </w:r>
          </w:p>
          <w:p w14:paraId="62E77F69" w14:textId="2844CD27" w:rsidR="00925AAE" w:rsidRDefault="00925AAE" w:rsidP="00FE7CCD">
            <w:pPr>
              <w:pStyle w:val="ListParagraph"/>
              <w:numPr>
                <w:ilvl w:val="0"/>
                <w:numId w:val="12"/>
              </w:numPr>
              <w:rPr>
                <w:rFonts w:cs="Arial"/>
                <w:sz w:val="20"/>
                <w:szCs w:val="20"/>
              </w:rPr>
            </w:pPr>
            <w:r>
              <w:rPr>
                <w:rFonts w:cs="Arial"/>
                <w:sz w:val="20"/>
                <w:szCs w:val="20"/>
              </w:rPr>
              <w:t xml:space="preserve">All activity taken place </w:t>
            </w:r>
            <w:proofErr w:type="gramStart"/>
            <w:r>
              <w:rPr>
                <w:rFonts w:cs="Arial"/>
                <w:sz w:val="20"/>
                <w:szCs w:val="20"/>
              </w:rPr>
              <w:t>in light of</w:t>
            </w:r>
            <w:proofErr w:type="gramEnd"/>
            <w:r>
              <w:rPr>
                <w:rFonts w:cs="Arial"/>
                <w:sz w:val="20"/>
                <w:szCs w:val="20"/>
              </w:rPr>
              <w:t xml:space="preserve"> both BREXIT and the </w:t>
            </w:r>
            <w:r w:rsidR="003A6021">
              <w:rPr>
                <w:rFonts w:cs="Arial"/>
                <w:sz w:val="20"/>
                <w:szCs w:val="20"/>
              </w:rPr>
              <w:t>COVID</w:t>
            </w:r>
            <w:r>
              <w:rPr>
                <w:rFonts w:cs="Arial"/>
                <w:sz w:val="20"/>
                <w:szCs w:val="20"/>
              </w:rPr>
              <w:t xml:space="preserve"> crisis</w:t>
            </w:r>
          </w:p>
          <w:p w14:paraId="660FC45F" w14:textId="77777777" w:rsidR="00925AAE" w:rsidRDefault="00925AAE" w:rsidP="00925AAE">
            <w:pPr>
              <w:rPr>
                <w:rFonts w:cs="Arial"/>
                <w:sz w:val="20"/>
                <w:szCs w:val="20"/>
              </w:rPr>
            </w:pPr>
          </w:p>
          <w:p w14:paraId="05ED5991" w14:textId="77777777" w:rsidR="00925AAE" w:rsidRDefault="00925AAE" w:rsidP="00925AAE">
            <w:pPr>
              <w:rPr>
                <w:rFonts w:cs="Arial"/>
                <w:sz w:val="20"/>
                <w:szCs w:val="20"/>
              </w:rPr>
            </w:pPr>
            <w:r w:rsidRPr="00925AAE">
              <w:rPr>
                <w:rFonts w:cs="Arial"/>
                <w:b/>
                <w:sz w:val="20"/>
                <w:szCs w:val="20"/>
              </w:rPr>
              <w:t>RESOLVED</w:t>
            </w:r>
            <w:r>
              <w:rPr>
                <w:rFonts w:cs="Arial"/>
                <w:sz w:val="20"/>
                <w:szCs w:val="20"/>
              </w:rPr>
              <w:t xml:space="preserve"> that</w:t>
            </w:r>
            <w:r w:rsidRPr="00925AAE">
              <w:rPr>
                <w:rFonts w:cs="Arial"/>
                <w:sz w:val="20"/>
                <w:szCs w:val="20"/>
              </w:rPr>
              <w:t xml:space="preserve"> progress made to date </w:t>
            </w:r>
            <w:r>
              <w:rPr>
                <w:rFonts w:cs="Arial"/>
                <w:sz w:val="20"/>
                <w:szCs w:val="20"/>
              </w:rPr>
              <w:t>be noted.</w:t>
            </w:r>
          </w:p>
          <w:p w14:paraId="7D91B61C" w14:textId="77777777" w:rsidR="00925AAE" w:rsidRPr="00925AAE" w:rsidRDefault="00925AAE" w:rsidP="00925AAE">
            <w:pPr>
              <w:rPr>
                <w:rFonts w:cs="Arial"/>
                <w:sz w:val="20"/>
                <w:szCs w:val="20"/>
              </w:rPr>
            </w:pPr>
          </w:p>
        </w:tc>
      </w:tr>
      <w:tr w:rsidR="00E75DA9" w:rsidRPr="00C879BE" w14:paraId="4E61AC5A"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73979884" w14:textId="77777777" w:rsidR="00E75DA9" w:rsidRDefault="00925AAE" w:rsidP="0056352E">
            <w:pPr>
              <w:rPr>
                <w:rFonts w:cs="Arial"/>
                <w:b/>
                <w:sz w:val="20"/>
                <w:szCs w:val="20"/>
              </w:rPr>
            </w:pPr>
            <w:r>
              <w:rPr>
                <w:rFonts w:cs="Arial"/>
                <w:b/>
                <w:sz w:val="20"/>
                <w:szCs w:val="20"/>
              </w:rPr>
              <w:t>111</w:t>
            </w:r>
          </w:p>
        </w:tc>
        <w:tc>
          <w:tcPr>
            <w:tcW w:w="8805" w:type="dxa"/>
            <w:gridSpan w:val="4"/>
            <w:tcBorders>
              <w:top w:val="nil"/>
              <w:left w:val="nil"/>
              <w:bottom w:val="nil"/>
              <w:right w:val="nil"/>
            </w:tcBorders>
            <w:shd w:val="clear" w:color="auto" w:fill="auto"/>
          </w:tcPr>
          <w:p w14:paraId="19C30015" w14:textId="77777777" w:rsidR="00E75DA9" w:rsidRDefault="00925AAE" w:rsidP="0056352E">
            <w:pPr>
              <w:rPr>
                <w:rFonts w:cs="Arial"/>
                <w:b/>
                <w:sz w:val="20"/>
                <w:szCs w:val="20"/>
              </w:rPr>
            </w:pPr>
            <w:r>
              <w:rPr>
                <w:rFonts w:cs="Arial"/>
                <w:b/>
                <w:sz w:val="20"/>
                <w:szCs w:val="20"/>
              </w:rPr>
              <w:t>Academic Degree Awarding and Ghost Writing</w:t>
            </w:r>
          </w:p>
          <w:p w14:paraId="68E6F07B" w14:textId="77777777" w:rsidR="00E75DA9" w:rsidRDefault="00E75DA9" w:rsidP="0056352E">
            <w:pPr>
              <w:rPr>
                <w:rFonts w:cs="Arial"/>
                <w:b/>
                <w:sz w:val="20"/>
                <w:szCs w:val="20"/>
              </w:rPr>
            </w:pPr>
          </w:p>
          <w:p w14:paraId="7EA48A21" w14:textId="77777777" w:rsidR="00132A9E" w:rsidRDefault="00E75DA9" w:rsidP="0056352E">
            <w:pPr>
              <w:rPr>
                <w:rFonts w:cs="Arial"/>
                <w:sz w:val="20"/>
                <w:szCs w:val="20"/>
              </w:rPr>
            </w:pPr>
            <w:r>
              <w:rPr>
                <w:rFonts w:cs="Arial"/>
                <w:sz w:val="20"/>
                <w:szCs w:val="20"/>
              </w:rPr>
              <w:t xml:space="preserve">Council considered a report by the </w:t>
            </w:r>
            <w:r w:rsidR="00925AAE">
              <w:rPr>
                <w:rFonts w:cs="Arial"/>
                <w:sz w:val="20"/>
                <w:szCs w:val="20"/>
              </w:rPr>
              <w:t>Academic Registrar which summarised</w:t>
            </w:r>
            <w:r w:rsidR="00925AAE" w:rsidRPr="00925AAE">
              <w:rPr>
                <w:rFonts w:cs="Arial"/>
                <w:sz w:val="20"/>
                <w:szCs w:val="20"/>
              </w:rPr>
              <w:t xml:space="preserve"> </w:t>
            </w:r>
            <w:r w:rsidR="00925AAE">
              <w:rPr>
                <w:rFonts w:cs="Arial"/>
                <w:sz w:val="20"/>
                <w:szCs w:val="20"/>
              </w:rPr>
              <w:t xml:space="preserve">the University’s </w:t>
            </w:r>
            <w:r w:rsidR="00925AAE" w:rsidRPr="00925AAE">
              <w:rPr>
                <w:rFonts w:cs="Arial"/>
                <w:sz w:val="20"/>
                <w:szCs w:val="20"/>
              </w:rPr>
              <w:t>profile of undergra</w:t>
            </w:r>
            <w:r w:rsidR="00925AAE">
              <w:rPr>
                <w:rFonts w:cs="Arial"/>
                <w:sz w:val="20"/>
                <w:szCs w:val="20"/>
              </w:rPr>
              <w:t>duate degree classifications and which</w:t>
            </w:r>
            <w:r w:rsidR="00925AAE" w:rsidRPr="00925AAE">
              <w:rPr>
                <w:rFonts w:cs="Arial"/>
                <w:sz w:val="20"/>
                <w:szCs w:val="20"/>
              </w:rPr>
              <w:t xml:space="preserve"> inform</w:t>
            </w:r>
            <w:r w:rsidR="00925AAE">
              <w:rPr>
                <w:rFonts w:cs="Arial"/>
                <w:sz w:val="20"/>
                <w:szCs w:val="20"/>
              </w:rPr>
              <w:t>ed</w:t>
            </w:r>
            <w:r w:rsidR="00925AAE" w:rsidRPr="00925AAE">
              <w:rPr>
                <w:rFonts w:cs="Arial"/>
                <w:sz w:val="20"/>
                <w:szCs w:val="20"/>
              </w:rPr>
              <w:t xml:space="preserve"> Council of the University’s position in the national debate on degree profiles. The UK Standing Comm</w:t>
            </w:r>
            <w:r w:rsidR="00925AAE">
              <w:rPr>
                <w:rFonts w:cs="Arial"/>
                <w:sz w:val="20"/>
                <w:szCs w:val="20"/>
              </w:rPr>
              <w:t>ittee for Quality Assessment had</w:t>
            </w:r>
            <w:r w:rsidR="00925AAE" w:rsidRPr="00925AAE">
              <w:rPr>
                <w:rFonts w:cs="Arial"/>
                <w:sz w:val="20"/>
                <w:szCs w:val="20"/>
              </w:rPr>
              <w:t xml:space="preserve"> proposed that all providers should publish a Degree Outcomes Statement analysing their institutional degree classifi</w:t>
            </w:r>
            <w:r w:rsidR="00925AAE">
              <w:rPr>
                <w:rFonts w:cs="Arial"/>
                <w:sz w:val="20"/>
                <w:szCs w:val="20"/>
              </w:rPr>
              <w:t>cation profile which articulated</w:t>
            </w:r>
            <w:r w:rsidR="00925AAE" w:rsidRPr="00925AAE">
              <w:rPr>
                <w:rFonts w:cs="Arial"/>
                <w:sz w:val="20"/>
                <w:szCs w:val="20"/>
              </w:rPr>
              <w:t xml:space="preserve"> the results of an internal institut</w:t>
            </w:r>
            <w:r w:rsidR="00925AAE">
              <w:rPr>
                <w:rFonts w:cs="Arial"/>
                <w:sz w:val="20"/>
                <w:szCs w:val="20"/>
              </w:rPr>
              <w:t>ional review. This analysis would</w:t>
            </w:r>
            <w:r w:rsidR="00925AAE" w:rsidRPr="00925AAE">
              <w:rPr>
                <w:rFonts w:cs="Arial"/>
                <w:sz w:val="20"/>
                <w:szCs w:val="20"/>
              </w:rPr>
              <w:t xml:space="preserve"> support the final Degree Outcomes Stat</w:t>
            </w:r>
            <w:r w:rsidR="00925AAE">
              <w:rPr>
                <w:rFonts w:cs="Arial"/>
                <w:sz w:val="20"/>
                <w:szCs w:val="20"/>
              </w:rPr>
              <w:t>ement, which would</w:t>
            </w:r>
            <w:r w:rsidR="00925AAE" w:rsidRPr="00925AAE">
              <w:rPr>
                <w:rFonts w:cs="Arial"/>
                <w:sz w:val="20"/>
                <w:szCs w:val="20"/>
              </w:rPr>
              <w:t xml:space="preserve"> be published by the end of 2020.</w:t>
            </w:r>
          </w:p>
          <w:p w14:paraId="0953FFF7" w14:textId="77777777" w:rsidR="00925AAE" w:rsidRDefault="00925AAE" w:rsidP="0056352E">
            <w:pPr>
              <w:rPr>
                <w:rFonts w:cs="Arial"/>
                <w:sz w:val="20"/>
                <w:szCs w:val="20"/>
              </w:rPr>
            </w:pPr>
          </w:p>
          <w:p w14:paraId="768F5076" w14:textId="727F1905" w:rsidR="00925AAE" w:rsidRDefault="00925AAE" w:rsidP="0056352E">
            <w:pPr>
              <w:rPr>
                <w:rFonts w:cs="Arial"/>
                <w:sz w:val="20"/>
                <w:szCs w:val="20"/>
              </w:rPr>
            </w:pPr>
            <w:r>
              <w:rPr>
                <w:rFonts w:cs="Arial"/>
                <w:sz w:val="20"/>
                <w:szCs w:val="20"/>
              </w:rPr>
              <w:t xml:space="preserve">A paper on ghost writing and essay mills activity was also presented which stated that the Academic Assurance team </w:t>
            </w:r>
            <w:r w:rsidR="008959E4">
              <w:rPr>
                <w:rFonts w:cs="Arial"/>
                <w:sz w:val="20"/>
                <w:szCs w:val="20"/>
              </w:rPr>
              <w:t xml:space="preserve">was </w:t>
            </w:r>
            <w:r>
              <w:rPr>
                <w:rFonts w:cs="Arial"/>
                <w:sz w:val="20"/>
                <w:szCs w:val="20"/>
              </w:rPr>
              <w:t>working on a raft of measures to identify and deal with any potential cases.</w:t>
            </w:r>
          </w:p>
          <w:p w14:paraId="730EC5BC" w14:textId="77777777" w:rsidR="00925AAE" w:rsidRDefault="00925AAE" w:rsidP="0056352E">
            <w:pPr>
              <w:rPr>
                <w:rFonts w:cs="Arial"/>
                <w:sz w:val="20"/>
                <w:szCs w:val="20"/>
              </w:rPr>
            </w:pPr>
          </w:p>
          <w:p w14:paraId="18C4BBB4" w14:textId="77777777" w:rsidR="00925AAE" w:rsidRPr="00E75DA9" w:rsidRDefault="00925AAE" w:rsidP="0056352E">
            <w:pPr>
              <w:rPr>
                <w:rFonts w:cs="Arial"/>
                <w:sz w:val="20"/>
                <w:szCs w:val="20"/>
              </w:rPr>
            </w:pPr>
            <w:r>
              <w:rPr>
                <w:rFonts w:cs="Arial"/>
                <w:sz w:val="20"/>
                <w:szCs w:val="20"/>
              </w:rPr>
              <w:t xml:space="preserve">RESOLVED that </w:t>
            </w:r>
            <w:proofErr w:type="gramStart"/>
            <w:r>
              <w:rPr>
                <w:rFonts w:cs="Arial"/>
                <w:sz w:val="20"/>
                <w:szCs w:val="20"/>
              </w:rPr>
              <w:t>both of the reports</w:t>
            </w:r>
            <w:proofErr w:type="gramEnd"/>
            <w:r>
              <w:rPr>
                <w:rFonts w:cs="Arial"/>
                <w:sz w:val="20"/>
                <w:szCs w:val="20"/>
              </w:rPr>
              <w:t xml:space="preserve"> be noted.</w:t>
            </w:r>
          </w:p>
        </w:tc>
      </w:tr>
      <w:tr w:rsidR="00132A9E" w:rsidRPr="00C879BE" w14:paraId="5569A38B"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141DC8DF" w14:textId="77777777" w:rsidR="00132A9E" w:rsidRDefault="00132A9E" w:rsidP="0056352E">
            <w:pPr>
              <w:rPr>
                <w:rFonts w:cs="Arial"/>
                <w:b/>
                <w:sz w:val="20"/>
                <w:szCs w:val="20"/>
              </w:rPr>
            </w:pPr>
          </w:p>
        </w:tc>
        <w:tc>
          <w:tcPr>
            <w:tcW w:w="8805" w:type="dxa"/>
            <w:gridSpan w:val="4"/>
            <w:tcBorders>
              <w:top w:val="nil"/>
              <w:left w:val="nil"/>
              <w:bottom w:val="nil"/>
              <w:right w:val="nil"/>
            </w:tcBorders>
            <w:shd w:val="clear" w:color="auto" w:fill="auto"/>
          </w:tcPr>
          <w:p w14:paraId="55AFD420" w14:textId="77777777" w:rsidR="00132A9E" w:rsidRDefault="00132A9E" w:rsidP="0056352E">
            <w:pPr>
              <w:rPr>
                <w:rFonts w:cs="Arial"/>
                <w:b/>
                <w:sz w:val="20"/>
                <w:szCs w:val="20"/>
              </w:rPr>
            </w:pPr>
          </w:p>
        </w:tc>
      </w:tr>
      <w:tr w:rsidR="0056352E" w:rsidRPr="00C879BE" w14:paraId="40DBE197"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50B3F61E" w14:textId="77777777" w:rsidR="0056352E" w:rsidRDefault="00925AAE" w:rsidP="0056352E">
            <w:pPr>
              <w:rPr>
                <w:rFonts w:cs="Arial"/>
                <w:b/>
                <w:sz w:val="20"/>
                <w:szCs w:val="20"/>
              </w:rPr>
            </w:pPr>
            <w:r>
              <w:rPr>
                <w:rFonts w:cs="Arial"/>
                <w:b/>
                <w:sz w:val="20"/>
                <w:szCs w:val="20"/>
              </w:rPr>
              <w:t>112</w:t>
            </w:r>
          </w:p>
        </w:tc>
        <w:tc>
          <w:tcPr>
            <w:tcW w:w="8805" w:type="dxa"/>
            <w:gridSpan w:val="4"/>
            <w:tcBorders>
              <w:top w:val="nil"/>
              <w:left w:val="nil"/>
              <w:bottom w:val="nil"/>
              <w:right w:val="nil"/>
            </w:tcBorders>
            <w:shd w:val="clear" w:color="auto" w:fill="auto"/>
          </w:tcPr>
          <w:p w14:paraId="22F5C8F2" w14:textId="77777777" w:rsidR="0056352E" w:rsidRDefault="00FE7CCD" w:rsidP="0056352E">
            <w:pPr>
              <w:rPr>
                <w:rFonts w:cs="Arial"/>
                <w:b/>
                <w:sz w:val="20"/>
                <w:szCs w:val="20"/>
              </w:rPr>
            </w:pPr>
            <w:r>
              <w:rPr>
                <w:rFonts w:cs="Arial"/>
                <w:b/>
                <w:sz w:val="20"/>
                <w:szCs w:val="20"/>
              </w:rPr>
              <w:t>Regulated Fees</w:t>
            </w:r>
          </w:p>
          <w:p w14:paraId="4A2AC2E8" w14:textId="77777777" w:rsidR="00132A9E" w:rsidRDefault="00132A9E" w:rsidP="0056352E">
            <w:pPr>
              <w:rPr>
                <w:rFonts w:cs="Arial"/>
                <w:b/>
                <w:sz w:val="20"/>
                <w:szCs w:val="20"/>
              </w:rPr>
            </w:pPr>
          </w:p>
          <w:p w14:paraId="658413B3" w14:textId="5249B1AD" w:rsidR="00FE7CCD" w:rsidRDefault="00FE7CCD" w:rsidP="00FE7CCD">
            <w:pPr>
              <w:rPr>
                <w:rFonts w:cs="Arial"/>
                <w:sz w:val="20"/>
                <w:szCs w:val="20"/>
              </w:rPr>
            </w:pPr>
            <w:r>
              <w:rPr>
                <w:rFonts w:cs="Arial"/>
                <w:sz w:val="20"/>
                <w:szCs w:val="20"/>
              </w:rPr>
              <w:t xml:space="preserve">Council considered a report by the Executive Director, Finance &amp; Planning. Regulated fees </w:t>
            </w:r>
            <w:r w:rsidR="007D5433">
              <w:rPr>
                <w:rFonts w:cs="Arial"/>
                <w:sz w:val="20"/>
                <w:szCs w:val="20"/>
              </w:rPr>
              <w:t>are</w:t>
            </w:r>
            <w:r w:rsidR="007D5433" w:rsidRPr="00FE7CCD">
              <w:rPr>
                <w:rFonts w:cs="Arial"/>
                <w:sz w:val="20"/>
                <w:szCs w:val="20"/>
              </w:rPr>
              <w:t xml:space="preserve"> </w:t>
            </w:r>
            <w:r w:rsidRPr="00FE7CCD">
              <w:rPr>
                <w:rFonts w:cs="Arial"/>
                <w:sz w:val="20"/>
                <w:szCs w:val="20"/>
              </w:rPr>
              <w:t>approved by Council on an annual basis, having first been reviewed by the university executive and recomme</w:t>
            </w:r>
            <w:r>
              <w:rPr>
                <w:rFonts w:cs="Arial"/>
                <w:sz w:val="20"/>
                <w:szCs w:val="20"/>
              </w:rPr>
              <w:t>nded by Finance Committee.  The report set</w:t>
            </w:r>
            <w:r w:rsidRPr="00FE7CCD">
              <w:rPr>
                <w:rFonts w:cs="Arial"/>
                <w:sz w:val="20"/>
                <w:szCs w:val="20"/>
              </w:rPr>
              <w:t xml:space="preserve"> out the recommended tuition fees for regulated students in 2021/22 – which </w:t>
            </w:r>
            <w:r>
              <w:rPr>
                <w:rFonts w:cs="Arial"/>
                <w:sz w:val="20"/>
                <w:szCs w:val="20"/>
              </w:rPr>
              <w:t xml:space="preserve">would </w:t>
            </w:r>
            <w:r w:rsidRPr="00FE7CCD">
              <w:rPr>
                <w:rFonts w:cs="Arial"/>
                <w:sz w:val="20"/>
                <w:szCs w:val="20"/>
              </w:rPr>
              <w:t xml:space="preserve">then </w:t>
            </w:r>
            <w:r w:rsidRPr="00FE7CCD">
              <w:rPr>
                <w:rFonts w:cs="Arial"/>
                <w:sz w:val="20"/>
                <w:szCs w:val="20"/>
              </w:rPr>
              <w:lastRenderedPageBreak/>
              <w:t>continue for the period of their studies. The t</w:t>
            </w:r>
            <w:r>
              <w:rPr>
                <w:rFonts w:cs="Arial"/>
                <w:sz w:val="20"/>
                <w:szCs w:val="20"/>
              </w:rPr>
              <w:t>erm ‘regulated students’ related to students who had</w:t>
            </w:r>
            <w:r w:rsidRPr="00FE7CCD">
              <w:rPr>
                <w:rFonts w:cs="Arial"/>
                <w:sz w:val="20"/>
                <w:szCs w:val="20"/>
              </w:rPr>
              <w:t xml:space="preserve"> been assessed as eligible for fee support a</w:t>
            </w:r>
            <w:r>
              <w:rPr>
                <w:rFonts w:cs="Arial"/>
                <w:sz w:val="20"/>
                <w:szCs w:val="20"/>
              </w:rPr>
              <w:t xml:space="preserve">nd, for the </w:t>
            </w:r>
            <w:r w:rsidR="00E52ED3">
              <w:rPr>
                <w:rFonts w:cs="Arial"/>
                <w:sz w:val="20"/>
                <w:szCs w:val="20"/>
              </w:rPr>
              <w:t>U</w:t>
            </w:r>
            <w:r>
              <w:rPr>
                <w:rFonts w:cs="Arial"/>
                <w:sz w:val="20"/>
                <w:szCs w:val="20"/>
              </w:rPr>
              <w:t>niversity, this could</w:t>
            </w:r>
            <w:r w:rsidRPr="00FE7CCD">
              <w:rPr>
                <w:rFonts w:cs="Arial"/>
                <w:sz w:val="20"/>
                <w:szCs w:val="20"/>
              </w:rPr>
              <w:t xml:space="preserve"> be taken to relate to full-time Home undergraduate </w:t>
            </w:r>
            <w:r>
              <w:rPr>
                <w:rFonts w:cs="Arial"/>
                <w:sz w:val="20"/>
                <w:szCs w:val="20"/>
              </w:rPr>
              <w:t>(UG) students.  Regulated fees we</w:t>
            </w:r>
            <w:r w:rsidRPr="00FE7CCD">
              <w:rPr>
                <w:rFonts w:cs="Arial"/>
                <w:sz w:val="20"/>
                <w:szCs w:val="20"/>
              </w:rPr>
              <w:t>re set within the parameters and conditions fixed by government.</w:t>
            </w:r>
          </w:p>
          <w:p w14:paraId="16F49691" w14:textId="77777777" w:rsidR="00FE7CCD" w:rsidRPr="00FE7CCD" w:rsidRDefault="00FE7CCD" w:rsidP="00FE7CCD">
            <w:pPr>
              <w:rPr>
                <w:rFonts w:cs="Arial"/>
                <w:sz w:val="20"/>
                <w:szCs w:val="20"/>
              </w:rPr>
            </w:pPr>
          </w:p>
          <w:p w14:paraId="4040F8AA" w14:textId="77777777" w:rsidR="00FE7CCD" w:rsidRDefault="00FE7CCD" w:rsidP="00FE7CCD">
            <w:pPr>
              <w:rPr>
                <w:rFonts w:cs="Arial"/>
                <w:sz w:val="20"/>
                <w:szCs w:val="20"/>
              </w:rPr>
            </w:pPr>
            <w:r>
              <w:rPr>
                <w:rFonts w:cs="Arial"/>
                <w:sz w:val="20"/>
                <w:szCs w:val="20"/>
              </w:rPr>
              <w:t>The</w:t>
            </w:r>
            <w:r w:rsidRPr="00FE7CCD">
              <w:rPr>
                <w:rFonts w:cs="Arial"/>
                <w:sz w:val="20"/>
                <w:szCs w:val="20"/>
              </w:rPr>
              <w:t xml:space="preserve"> paper proposed maintaining the Home UG </w:t>
            </w:r>
            <w:r>
              <w:rPr>
                <w:rFonts w:cs="Arial"/>
                <w:sz w:val="20"/>
                <w:szCs w:val="20"/>
              </w:rPr>
              <w:t>fee at £9,250 pa.  However, it wa</w:t>
            </w:r>
            <w:r w:rsidRPr="00FE7CCD">
              <w:rPr>
                <w:rFonts w:cs="Arial"/>
                <w:sz w:val="20"/>
                <w:szCs w:val="20"/>
              </w:rPr>
              <w:t>s p</w:t>
            </w:r>
            <w:r>
              <w:rPr>
                <w:rFonts w:cs="Arial"/>
                <w:sz w:val="20"/>
                <w:szCs w:val="20"/>
              </w:rPr>
              <w:t>ossible that the government would</w:t>
            </w:r>
            <w:r w:rsidRPr="00FE7CCD">
              <w:rPr>
                <w:rFonts w:cs="Arial"/>
                <w:sz w:val="20"/>
                <w:szCs w:val="20"/>
              </w:rPr>
              <w:t xml:space="preserve"> decide to change the regulated fee between now and the start of the 2021/22 academic year.  This uncertainty needs to be clearly articulated in all university literature relating to fees.</w:t>
            </w:r>
          </w:p>
          <w:p w14:paraId="1790703F" w14:textId="77777777" w:rsidR="00FE7CCD" w:rsidRPr="00FE7CCD" w:rsidRDefault="00FE7CCD" w:rsidP="00FE7CCD">
            <w:pPr>
              <w:rPr>
                <w:rFonts w:cs="Arial"/>
                <w:sz w:val="20"/>
                <w:szCs w:val="20"/>
              </w:rPr>
            </w:pPr>
          </w:p>
          <w:p w14:paraId="1B2ED63D" w14:textId="4A97AAB7" w:rsidR="00F7383A" w:rsidRDefault="00FE7CCD" w:rsidP="00FE7CCD">
            <w:pPr>
              <w:rPr>
                <w:rFonts w:cs="Arial"/>
                <w:sz w:val="20"/>
                <w:szCs w:val="20"/>
              </w:rPr>
            </w:pPr>
            <w:r w:rsidRPr="00FE7CCD">
              <w:rPr>
                <w:rFonts w:cs="Arial"/>
                <w:sz w:val="20"/>
                <w:szCs w:val="20"/>
              </w:rPr>
              <w:t>The implications of the current global pandemi</w:t>
            </w:r>
            <w:r>
              <w:rPr>
                <w:rFonts w:cs="Arial"/>
                <w:sz w:val="20"/>
                <w:szCs w:val="20"/>
              </w:rPr>
              <w:t>c on regulated fees in 2021/22 we</w:t>
            </w:r>
            <w:r w:rsidRPr="00FE7CCD">
              <w:rPr>
                <w:rFonts w:cs="Arial"/>
                <w:sz w:val="20"/>
                <w:szCs w:val="20"/>
              </w:rPr>
              <w:t xml:space="preserve">re currently unknown.  Economic conditions may result in the </w:t>
            </w:r>
            <w:r w:rsidR="00E52ED3">
              <w:rPr>
                <w:rFonts w:cs="Arial"/>
                <w:sz w:val="20"/>
                <w:szCs w:val="20"/>
              </w:rPr>
              <w:t>G</w:t>
            </w:r>
            <w:r w:rsidRPr="00FE7CCD">
              <w:rPr>
                <w:rFonts w:cs="Arial"/>
                <w:sz w:val="20"/>
                <w:szCs w:val="20"/>
              </w:rPr>
              <w:t xml:space="preserve">overnment </w:t>
            </w:r>
            <w:proofErr w:type="gramStart"/>
            <w:r w:rsidRPr="00FE7CCD">
              <w:rPr>
                <w:rFonts w:cs="Arial"/>
                <w:sz w:val="20"/>
                <w:szCs w:val="20"/>
              </w:rPr>
              <w:t>taking action</w:t>
            </w:r>
            <w:proofErr w:type="gramEnd"/>
            <w:r w:rsidRPr="00FE7CCD">
              <w:rPr>
                <w:rFonts w:cs="Arial"/>
                <w:sz w:val="20"/>
                <w:szCs w:val="20"/>
              </w:rPr>
              <w:t xml:space="preserve"> on maximum fee levels; student demand may see the market using discounts more widely at a UG level.  The </w:t>
            </w:r>
            <w:r w:rsidR="00E52ED3">
              <w:rPr>
                <w:rFonts w:cs="Arial"/>
                <w:sz w:val="20"/>
                <w:szCs w:val="20"/>
              </w:rPr>
              <w:t>U</w:t>
            </w:r>
            <w:r w:rsidRPr="00FE7CCD">
              <w:rPr>
                <w:rFonts w:cs="Arial"/>
                <w:sz w:val="20"/>
                <w:szCs w:val="20"/>
              </w:rPr>
              <w:t xml:space="preserve">niversity needs to be </w:t>
            </w:r>
            <w:proofErr w:type="gramStart"/>
            <w:r w:rsidRPr="00FE7CCD">
              <w:rPr>
                <w:rFonts w:cs="Arial"/>
                <w:sz w:val="20"/>
                <w:szCs w:val="20"/>
              </w:rPr>
              <w:t>in a position</w:t>
            </w:r>
            <w:proofErr w:type="gramEnd"/>
            <w:r w:rsidRPr="00FE7CCD">
              <w:rPr>
                <w:rFonts w:cs="Arial"/>
                <w:sz w:val="20"/>
                <w:szCs w:val="20"/>
              </w:rPr>
              <w:t xml:space="preserve"> to respond quickly and flexibly to p</w:t>
            </w:r>
            <w:r>
              <w:rPr>
                <w:rFonts w:cs="Arial"/>
                <w:sz w:val="20"/>
                <w:szCs w:val="20"/>
              </w:rPr>
              <w:t>otential changes.  It wa</w:t>
            </w:r>
            <w:r w:rsidRPr="00FE7CCD">
              <w:rPr>
                <w:rFonts w:cs="Arial"/>
                <w:sz w:val="20"/>
                <w:szCs w:val="20"/>
              </w:rPr>
              <w:t>s expected that analysis on potential changes to tuition fees will be included in scenario planning work.</w:t>
            </w:r>
          </w:p>
          <w:p w14:paraId="6EDDA239" w14:textId="77777777" w:rsidR="00FE7CCD" w:rsidRDefault="00FE7CCD" w:rsidP="00FE7CCD">
            <w:pPr>
              <w:rPr>
                <w:rFonts w:cs="Arial"/>
                <w:sz w:val="20"/>
                <w:szCs w:val="20"/>
              </w:rPr>
            </w:pPr>
          </w:p>
          <w:p w14:paraId="47A54A29" w14:textId="77777777" w:rsidR="00FE7CCD" w:rsidRDefault="00FE7CCD" w:rsidP="00FE7CCD">
            <w:pPr>
              <w:rPr>
                <w:rFonts w:cs="Arial"/>
                <w:sz w:val="20"/>
                <w:szCs w:val="20"/>
              </w:rPr>
            </w:pPr>
            <w:r w:rsidRPr="00AB4ACD">
              <w:rPr>
                <w:rFonts w:cs="Arial"/>
                <w:b/>
                <w:sz w:val="20"/>
                <w:szCs w:val="20"/>
              </w:rPr>
              <w:t>RESOLVED</w:t>
            </w:r>
            <w:r>
              <w:rPr>
                <w:rFonts w:cs="Arial"/>
                <w:sz w:val="20"/>
                <w:szCs w:val="20"/>
              </w:rPr>
              <w:t xml:space="preserve"> that the report and fees be approved.</w:t>
            </w:r>
          </w:p>
          <w:p w14:paraId="2B1ADEA3" w14:textId="77777777" w:rsidR="00FE7CCD" w:rsidRPr="00132A9E" w:rsidRDefault="00FE7CCD" w:rsidP="00FE7CCD">
            <w:pPr>
              <w:rPr>
                <w:rFonts w:cs="Arial"/>
                <w:sz w:val="20"/>
                <w:szCs w:val="20"/>
              </w:rPr>
            </w:pPr>
          </w:p>
        </w:tc>
      </w:tr>
      <w:tr w:rsidR="00FE7CCD" w:rsidRPr="00C879BE" w14:paraId="55BAD5F4"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4E6A378B" w14:textId="77777777" w:rsidR="00FE7CCD" w:rsidRDefault="00FE7CCD" w:rsidP="0056352E">
            <w:pPr>
              <w:rPr>
                <w:rFonts w:cs="Arial"/>
                <w:b/>
                <w:sz w:val="20"/>
                <w:szCs w:val="20"/>
              </w:rPr>
            </w:pPr>
            <w:r>
              <w:rPr>
                <w:rFonts w:cs="Arial"/>
                <w:b/>
                <w:sz w:val="20"/>
                <w:szCs w:val="20"/>
              </w:rPr>
              <w:lastRenderedPageBreak/>
              <w:t>113</w:t>
            </w:r>
          </w:p>
        </w:tc>
        <w:tc>
          <w:tcPr>
            <w:tcW w:w="8805" w:type="dxa"/>
            <w:gridSpan w:val="4"/>
            <w:tcBorders>
              <w:top w:val="nil"/>
              <w:left w:val="nil"/>
              <w:bottom w:val="nil"/>
              <w:right w:val="nil"/>
            </w:tcBorders>
            <w:shd w:val="clear" w:color="auto" w:fill="auto"/>
          </w:tcPr>
          <w:p w14:paraId="5BE1B998" w14:textId="377D0985" w:rsidR="00FE7CCD" w:rsidRDefault="00FE7CCD" w:rsidP="0056352E">
            <w:pPr>
              <w:rPr>
                <w:rFonts w:cs="Arial"/>
                <w:b/>
                <w:sz w:val="20"/>
                <w:szCs w:val="20"/>
              </w:rPr>
            </w:pPr>
            <w:r>
              <w:rPr>
                <w:rFonts w:cs="Arial"/>
                <w:b/>
                <w:sz w:val="20"/>
                <w:szCs w:val="20"/>
              </w:rPr>
              <w:t>President and Vice</w:t>
            </w:r>
            <w:r w:rsidR="00E52ED3">
              <w:rPr>
                <w:rFonts w:cs="Arial"/>
                <w:b/>
                <w:sz w:val="20"/>
                <w:szCs w:val="20"/>
              </w:rPr>
              <w:t>-</w:t>
            </w:r>
            <w:r>
              <w:rPr>
                <w:rFonts w:cs="Arial"/>
                <w:b/>
                <w:sz w:val="20"/>
                <w:szCs w:val="20"/>
              </w:rPr>
              <w:t>Chancellor’s Annual Report on Health &amp; Safety</w:t>
            </w:r>
          </w:p>
          <w:p w14:paraId="7D99DDD9" w14:textId="77777777" w:rsidR="00FE7CCD" w:rsidRDefault="00FE7CCD" w:rsidP="0056352E">
            <w:pPr>
              <w:rPr>
                <w:rFonts w:cs="Arial"/>
                <w:b/>
                <w:sz w:val="20"/>
                <w:szCs w:val="20"/>
              </w:rPr>
            </w:pPr>
          </w:p>
          <w:p w14:paraId="12E0C1AD" w14:textId="52E30164" w:rsidR="00FE7CCD" w:rsidRDefault="006058C7" w:rsidP="0056352E">
            <w:pPr>
              <w:rPr>
                <w:rFonts w:cs="Arial"/>
                <w:sz w:val="20"/>
                <w:szCs w:val="20"/>
              </w:rPr>
            </w:pPr>
            <w:r>
              <w:rPr>
                <w:rFonts w:cs="Arial"/>
                <w:sz w:val="20"/>
                <w:szCs w:val="20"/>
              </w:rPr>
              <w:t>Council received a report by the President and Vice</w:t>
            </w:r>
            <w:r w:rsidR="00E52ED3">
              <w:rPr>
                <w:rFonts w:cs="Arial"/>
                <w:sz w:val="20"/>
                <w:szCs w:val="20"/>
              </w:rPr>
              <w:t>-</w:t>
            </w:r>
            <w:r>
              <w:rPr>
                <w:rFonts w:cs="Arial"/>
                <w:sz w:val="20"/>
                <w:szCs w:val="20"/>
              </w:rPr>
              <w:t>Chancellor which provided</w:t>
            </w:r>
            <w:r w:rsidRPr="006058C7">
              <w:rPr>
                <w:rFonts w:cs="Arial"/>
                <w:sz w:val="20"/>
                <w:szCs w:val="20"/>
              </w:rPr>
              <w:t xml:space="preserve"> a review of Health and Safety performance by the University during 2019, using the principles of Plan, Do, Check, Act</w:t>
            </w:r>
            <w:r>
              <w:rPr>
                <w:rFonts w:cs="Arial"/>
                <w:sz w:val="20"/>
                <w:szCs w:val="20"/>
              </w:rPr>
              <w:t>.  The objective of the report wa</w:t>
            </w:r>
            <w:r w:rsidRPr="006058C7">
              <w:rPr>
                <w:rFonts w:cs="Arial"/>
                <w:sz w:val="20"/>
                <w:szCs w:val="20"/>
              </w:rPr>
              <w:t>s to provide assurance of legal compliance to University Council and the Executive.</w:t>
            </w:r>
          </w:p>
          <w:p w14:paraId="5372B66E" w14:textId="77777777" w:rsidR="006058C7" w:rsidRDefault="006058C7" w:rsidP="0056352E">
            <w:pPr>
              <w:rPr>
                <w:rFonts w:cs="Arial"/>
                <w:sz w:val="20"/>
                <w:szCs w:val="20"/>
              </w:rPr>
            </w:pPr>
          </w:p>
          <w:p w14:paraId="72CD76B8" w14:textId="77777777" w:rsidR="006058C7" w:rsidRDefault="006058C7" w:rsidP="0056352E">
            <w:pPr>
              <w:rPr>
                <w:rFonts w:cs="Arial"/>
                <w:sz w:val="20"/>
                <w:szCs w:val="20"/>
              </w:rPr>
            </w:pPr>
            <w:r>
              <w:rPr>
                <w:rFonts w:cs="Arial"/>
                <w:sz w:val="20"/>
                <w:szCs w:val="20"/>
              </w:rPr>
              <w:t>The following issues were highlighted:</w:t>
            </w:r>
          </w:p>
          <w:p w14:paraId="4F506C1A" w14:textId="77777777" w:rsidR="006058C7" w:rsidRDefault="006058C7" w:rsidP="0056352E">
            <w:pPr>
              <w:rPr>
                <w:rFonts w:cs="Arial"/>
                <w:sz w:val="20"/>
                <w:szCs w:val="20"/>
              </w:rPr>
            </w:pPr>
          </w:p>
          <w:p w14:paraId="5B4FF3A4" w14:textId="77777777" w:rsidR="006058C7" w:rsidRDefault="006058C7" w:rsidP="006058C7">
            <w:pPr>
              <w:pStyle w:val="ListParagraph"/>
              <w:numPr>
                <w:ilvl w:val="0"/>
                <w:numId w:val="13"/>
              </w:numPr>
              <w:rPr>
                <w:rFonts w:cs="Arial"/>
                <w:sz w:val="20"/>
                <w:szCs w:val="20"/>
              </w:rPr>
            </w:pPr>
            <w:r>
              <w:rPr>
                <w:rFonts w:cs="Arial"/>
                <w:sz w:val="20"/>
                <w:szCs w:val="20"/>
              </w:rPr>
              <w:t>Restructure of the Health &amp; Safety team</w:t>
            </w:r>
          </w:p>
          <w:p w14:paraId="2542BE62" w14:textId="77777777" w:rsidR="006058C7" w:rsidRDefault="006058C7" w:rsidP="006058C7">
            <w:pPr>
              <w:pStyle w:val="ListParagraph"/>
              <w:numPr>
                <w:ilvl w:val="0"/>
                <w:numId w:val="13"/>
              </w:numPr>
              <w:rPr>
                <w:rFonts w:cs="Arial"/>
                <w:sz w:val="20"/>
                <w:szCs w:val="20"/>
              </w:rPr>
            </w:pPr>
            <w:r>
              <w:rPr>
                <w:rFonts w:cs="Arial"/>
                <w:sz w:val="20"/>
                <w:szCs w:val="20"/>
              </w:rPr>
              <w:t>Use of SMART action plans</w:t>
            </w:r>
          </w:p>
          <w:p w14:paraId="0C8E8D59" w14:textId="77777777" w:rsidR="006058C7" w:rsidRDefault="006058C7" w:rsidP="006058C7">
            <w:pPr>
              <w:pStyle w:val="ListParagraph"/>
              <w:numPr>
                <w:ilvl w:val="0"/>
                <w:numId w:val="13"/>
              </w:numPr>
              <w:rPr>
                <w:rFonts w:cs="Arial"/>
                <w:sz w:val="20"/>
                <w:szCs w:val="20"/>
              </w:rPr>
            </w:pPr>
            <w:r>
              <w:rPr>
                <w:rFonts w:cs="Arial"/>
                <w:sz w:val="20"/>
                <w:szCs w:val="20"/>
              </w:rPr>
              <w:t xml:space="preserve">Risk minimisation during the </w:t>
            </w:r>
            <w:proofErr w:type="spellStart"/>
            <w:r>
              <w:rPr>
                <w:rFonts w:cs="Arial"/>
                <w:sz w:val="20"/>
                <w:szCs w:val="20"/>
              </w:rPr>
              <w:t>covid</w:t>
            </w:r>
            <w:proofErr w:type="spellEnd"/>
            <w:r>
              <w:rPr>
                <w:rFonts w:cs="Arial"/>
                <w:sz w:val="20"/>
                <w:szCs w:val="20"/>
              </w:rPr>
              <w:t xml:space="preserve"> crisis</w:t>
            </w:r>
          </w:p>
          <w:p w14:paraId="53D13758" w14:textId="77777777" w:rsidR="00AB4ACD" w:rsidRDefault="00AB4ACD" w:rsidP="00AB4ACD">
            <w:pPr>
              <w:rPr>
                <w:rFonts w:cs="Arial"/>
                <w:sz w:val="20"/>
                <w:szCs w:val="20"/>
              </w:rPr>
            </w:pPr>
          </w:p>
          <w:p w14:paraId="1C4504A9" w14:textId="77777777" w:rsidR="00AB4ACD" w:rsidRDefault="00AB4ACD" w:rsidP="00AB4ACD">
            <w:pPr>
              <w:rPr>
                <w:rFonts w:cs="Arial"/>
                <w:sz w:val="20"/>
                <w:szCs w:val="20"/>
              </w:rPr>
            </w:pPr>
            <w:r>
              <w:rPr>
                <w:rFonts w:cs="Arial"/>
                <w:sz w:val="20"/>
                <w:szCs w:val="20"/>
              </w:rPr>
              <w:t>In response to a query it was noted that the investigation into confined spaces within the campus had led to more comprehensive work being undertaken and enable the team to rectify more issues and issue more guidance.</w:t>
            </w:r>
          </w:p>
          <w:p w14:paraId="1ED08B22" w14:textId="77777777" w:rsidR="00AB4ACD" w:rsidRDefault="00AB4ACD" w:rsidP="00AB4ACD">
            <w:pPr>
              <w:rPr>
                <w:rFonts w:cs="Arial"/>
                <w:sz w:val="20"/>
                <w:szCs w:val="20"/>
              </w:rPr>
            </w:pPr>
          </w:p>
          <w:p w14:paraId="4176529F" w14:textId="77777777" w:rsidR="00AB4ACD" w:rsidRDefault="00AB4ACD" w:rsidP="00AB4ACD">
            <w:pPr>
              <w:rPr>
                <w:rFonts w:cs="Arial"/>
                <w:sz w:val="20"/>
                <w:szCs w:val="20"/>
              </w:rPr>
            </w:pPr>
            <w:r w:rsidRPr="00AB4ACD">
              <w:rPr>
                <w:rFonts w:cs="Arial"/>
                <w:b/>
                <w:sz w:val="20"/>
                <w:szCs w:val="20"/>
              </w:rPr>
              <w:t>RESOLVED</w:t>
            </w:r>
            <w:r>
              <w:rPr>
                <w:rFonts w:cs="Arial"/>
                <w:sz w:val="20"/>
                <w:szCs w:val="20"/>
              </w:rPr>
              <w:t xml:space="preserve"> that the approach to health and safety be endorsed and report be noted.</w:t>
            </w:r>
          </w:p>
          <w:p w14:paraId="734C6B3C" w14:textId="77777777" w:rsidR="00AB4ACD" w:rsidRPr="00AB4ACD" w:rsidRDefault="00AB4ACD" w:rsidP="00AB4ACD">
            <w:pPr>
              <w:rPr>
                <w:rFonts w:cs="Arial"/>
                <w:sz w:val="20"/>
                <w:szCs w:val="20"/>
              </w:rPr>
            </w:pPr>
          </w:p>
        </w:tc>
      </w:tr>
      <w:tr w:rsidR="00AB4ACD" w:rsidRPr="00C879BE" w14:paraId="395520DF"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7BAEE6E6" w14:textId="77777777" w:rsidR="00AB4ACD" w:rsidRDefault="00AB4ACD" w:rsidP="0056352E">
            <w:pPr>
              <w:rPr>
                <w:rFonts w:cs="Arial"/>
                <w:b/>
                <w:sz w:val="20"/>
                <w:szCs w:val="20"/>
              </w:rPr>
            </w:pPr>
            <w:r>
              <w:rPr>
                <w:rFonts w:cs="Arial"/>
                <w:b/>
                <w:sz w:val="20"/>
                <w:szCs w:val="20"/>
              </w:rPr>
              <w:t>114</w:t>
            </w:r>
          </w:p>
        </w:tc>
        <w:tc>
          <w:tcPr>
            <w:tcW w:w="8805" w:type="dxa"/>
            <w:gridSpan w:val="4"/>
            <w:tcBorders>
              <w:top w:val="nil"/>
              <w:left w:val="nil"/>
              <w:bottom w:val="nil"/>
              <w:right w:val="nil"/>
            </w:tcBorders>
            <w:shd w:val="clear" w:color="auto" w:fill="auto"/>
          </w:tcPr>
          <w:p w14:paraId="7FDD1005" w14:textId="77777777" w:rsidR="00AB4ACD" w:rsidRDefault="00AB4ACD" w:rsidP="0056352E">
            <w:pPr>
              <w:rPr>
                <w:rFonts w:cs="Arial"/>
                <w:b/>
                <w:sz w:val="20"/>
                <w:szCs w:val="20"/>
              </w:rPr>
            </w:pPr>
            <w:r>
              <w:rPr>
                <w:rFonts w:cs="Arial"/>
                <w:b/>
                <w:sz w:val="20"/>
                <w:szCs w:val="20"/>
              </w:rPr>
              <w:t>Annual Report of the Health and Safety Audit and Assurance Committee</w:t>
            </w:r>
          </w:p>
          <w:p w14:paraId="5EBC836E" w14:textId="77777777" w:rsidR="00AB4ACD" w:rsidRDefault="00AB4ACD" w:rsidP="0056352E">
            <w:pPr>
              <w:rPr>
                <w:rFonts w:cs="Arial"/>
                <w:b/>
                <w:sz w:val="20"/>
                <w:szCs w:val="20"/>
              </w:rPr>
            </w:pPr>
          </w:p>
          <w:p w14:paraId="010AF74B" w14:textId="69B93D81" w:rsidR="00AB4ACD" w:rsidRDefault="00AB4ACD" w:rsidP="0056352E">
            <w:pPr>
              <w:rPr>
                <w:rFonts w:cs="Arial"/>
                <w:sz w:val="20"/>
                <w:szCs w:val="20"/>
              </w:rPr>
            </w:pPr>
            <w:r>
              <w:rPr>
                <w:rFonts w:cs="Arial"/>
                <w:sz w:val="20"/>
                <w:szCs w:val="20"/>
              </w:rPr>
              <w:t xml:space="preserve">Council received a report from the Chair of the Health and Safety Audit and Assurance Committee which </w:t>
            </w:r>
            <w:r w:rsidRPr="00AB4ACD">
              <w:rPr>
                <w:rFonts w:cs="Arial"/>
                <w:sz w:val="20"/>
                <w:szCs w:val="20"/>
              </w:rPr>
              <w:t>report</w:t>
            </w:r>
            <w:r>
              <w:rPr>
                <w:rFonts w:cs="Arial"/>
                <w:sz w:val="20"/>
                <w:szCs w:val="20"/>
              </w:rPr>
              <w:t>ed</w:t>
            </w:r>
            <w:r w:rsidRPr="00AB4ACD">
              <w:rPr>
                <w:rFonts w:cs="Arial"/>
                <w:sz w:val="20"/>
                <w:szCs w:val="20"/>
              </w:rPr>
              <w:t xml:space="preserve"> to Council its findings following a short Video meeting held May 2020. The situation and actions surrounding C</w:t>
            </w:r>
            <w:r w:rsidR="00E52ED3">
              <w:rPr>
                <w:rFonts w:cs="Arial"/>
                <w:sz w:val="20"/>
                <w:szCs w:val="20"/>
              </w:rPr>
              <w:t>ovi-</w:t>
            </w:r>
            <w:r w:rsidRPr="00AB4ACD">
              <w:rPr>
                <w:rFonts w:cs="Arial"/>
                <w:sz w:val="20"/>
                <w:szCs w:val="20"/>
              </w:rPr>
              <w:t>19 are out of scope for this report and are actively being tracked through the Gold Command Meetings.</w:t>
            </w:r>
          </w:p>
          <w:p w14:paraId="1CBDB40B" w14:textId="77777777" w:rsidR="00AB4ACD" w:rsidRDefault="00AB4ACD" w:rsidP="0056352E">
            <w:pPr>
              <w:rPr>
                <w:rFonts w:cs="Arial"/>
                <w:sz w:val="20"/>
                <w:szCs w:val="20"/>
              </w:rPr>
            </w:pPr>
          </w:p>
          <w:p w14:paraId="34B0BB87" w14:textId="77777777" w:rsidR="00AB4ACD" w:rsidRDefault="00AB4ACD" w:rsidP="0056352E">
            <w:pPr>
              <w:rPr>
                <w:rFonts w:cs="Arial"/>
                <w:sz w:val="20"/>
                <w:szCs w:val="20"/>
              </w:rPr>
            </w:pPr>
            <w:r w:rsidRPr="00AB4ACD">
              <w:rPr>
                <w:rFonts w:cs="Arial"/>
                <w:b/>
                <w:sz w:val="20"/>
                <w:szCs w:val="20"/>
              </w:rPr>
              <w:t>RESOLVED</w:t>
            </w:r>
            <w:r>
              <w:rPr>
                <w:rFonts w:cs="Arial"/>
                <w:sz w:val="20"/>
                <w:szCs w:val="20"/>
              </w:rPr>
              <w:t xml:space="preserve"> that the report be noted.</w:t>
            </w:r>
          </w:p>
          <w:p w14:paraId="7B16EB7D" w14:textId="77777777" w:rsidR="00E05647" w:rsidRPr="00AB4ACD" w:rsidRDefault="00E05647" w:rsidP="0056352E">
            <w:pPr>
              <w:rPr>
                <w:rFonts w:cs="Arial"/>
                <w:sz w:val="20"/>
                <w:szCs w:val="20"/>
              </w:rPr>
            </w:pPr>
          </w:p>
        </w:tc>
      </w:tr>
      <w:tr w:rsidR="00E05647" w:rsidRPr="00C879BE" w14:paraId="1FC4DA8F"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11DAD006" w14:textId="77777777" w:rsidR="00E05647" w:rsidRDefault="00E05647" w:rsidP="0056352E">
            <w:pPr>
              <w:rPr>
                <w:rFonts w:cs="Arial"/>
                <w:b/>
                <w:sz w:val="20"/>
                <w:szCs w:val="20"/>
              </w:rPr>
            </w:pPr>
            <w:r>
              <w:rPr>
                <w:rFonts w:cs="Arial"/>
                <w:b/>
                <w:sz w:val="20"/>
                <w:szCs w:val="20"/>
              </w:rPr>
              <w:t>115</w:t>
            </w:r>
          </w:p>
        </w:tc>
        <w:tc>
          <w:tcPr>
            <w:tcW w:w="8805" w:type="dxa"/>
            <w:gridSpan w:val="4"/>
            <w:tcBorders>
              <w:top w:val="nil"/>
              <w:left w:val="nil"/>
              <w:bottom w:val="nil"/>
              <w:right w:val="nil"/>
            </w:tcBorders>
            <w:shd w:val="clear" w:color="auto" w:fill="auto"/>
          </w:tcPr>
          <w:p w14:paraId="126B34D3" w14:textId="77777777" w:rsidR="00E05647" w:rsidRDefault="00E05647" w:rsidP="0056352E">
            <w:pPr>
              <w:rPr>
                <w:rFonts w:cs="Arial"/>
                <w:b/>
                <w:sz w:val="20"/>
                <w:szCs w:val="20"/>
              </w:rPr>
            </w:pPr>
            <w:r>
              <w:rPr>
                <w:rFonts w:cs="Arial"/>
                <w:b/>
                <w:sz w:val="20"/>
                <w:szCs w:val="20"/>
              </w:rPr>
              <w:t>Nominations Committee Update</w:t>
            </w:r>
          </w:p>
          <w:p w14:paraId="35D6306F" w14:textId="77777777" w:rsidR="00E05647" w:rsidRDefault="00E05647" w:rsidP="0056352E">
            <w:pPr>
              <w:rPr>
                <w:rFonts w:cs="Arial"/>
                <w:b/>
                <w:sz w:val="20"/>
                <w:szCs w:val="20"/>
              </w:rPr>
            </w:pPr>
          </w:p>
          <w:p w14:paraId="750CEB7C" w14:textId="77777777" w:rsidR="00E05647" w:rsidRDefault="00E05647" w:rsidP="0056352E">
            <w:pPr>
              <w:rPr>
                <w:rFonts w:cs="Arial"/>
                <w:sz w:val="20"/>
                <w:szCs w:val="20"/>
              </w:rPr>
            </w:pPr>
            <w:r>
              <w:rPr>
                <w:rFonts w:cs="Arial"/>
                <w:sz w:val="20"/>
                <w:szCs w:val="20"/>
              </w:rPr>
              <w:t xml:space="preserve">The Chair of the Nominations Committee reported that the process for appointing a new Class 4 Non-academic member of Council was continuing well and that the Committee </w:t>
            </w:r>
            <w:r>
              <w:rPr>
                <w:rFonts w:cs="Arial"/>
                <w:sz w:val="20"/>
                <w:szCs w:val="20"/>
              </w:rPr>
              <w:lastRenderedPageBreak/>
              <w:t>would be seeking the advice and guidance of a diversity expert to inform thinking about how Council could improve its diversity.</w:t>
            </w:r>
          </w:p>
          <w:p w14:paraId="0BB2FA19" w14:textId="77777777" w:rsidR="00E05647" w:rsidRDefault="00E05647" w:rsidP="0056352E">
            <w:pPr>
              <w:rPr>
                <w:rFonts w:cs="Arial"/>
                <w:sz w:val="20"/>
                <w:szCs w:val="20"/>
              </w:rPr>
            </w:pPr>
          </w:p>
          <w:p w14:paraId="6C3142E8" w14:textId="77777777" w:rsidR="00E05647" w:rsidRDefault="00E05647" w:rsidP="0056352E">
            <w:pPr>
              <w:rPr>
                <w:rFonts w:cs="Arial"/>
                <w:sz w:val="20"/>
                <w:szCs w:val="20"/>
              </w:rPr>
            </w:pPr>
            <w:r w:rsidRPr="005F482C">
              <w:rPr>
                <w:rFonts w:cs="Arial"/>
                <w:b/>
                <w:sz w:val="20"/>
                <w:szCs w:val="20"/>
              </w:rPr>
              <w:t>RESOLVED</w:t>
            </w:r>
            <w:r>
              <w:rPr>
                <w:rFonts w:cs="Arial"/>
                <w:sz w:val="20"/>
                <w:szCs w:val="20"/>
              </w:rPr>
              <w:t xml:space="preserve"> that the update be noted.</w:t>
            </w:r>
          </w:p>
          <w:p w14:paraId="38E0B678" w14:textId="77777777" w:rsidR="005F482C" w:rsidRPr="00E05647" w:rsidRDefault="005F482C" w:rsidP="0056352E">
            <w:pPr>
              <w:rPr>
                <w:rFonts w:cs="Arial"/>
                <w:sz w:val="20"/>
                <w:szCs w:val="20"/>
              </w:rPr>
            </w:pPr>
          </w:p>
        </w:tc>
      </w:tr>
      <w:tr w:rsidR="005F482C" w:rsidRPr="00C879BE" w14:paraId="79A821D7"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5E0165EE" w14:textId="77777777" w:rsidR="005F482C" w:rsidRDefault="005F482C" w:rsidP="0056352E">
            <w:pPr>
              <w:rPr>
                <w:rFonts w:cs="Arial"/>
                <w:b/>
                <w:sz w:val="20"/>
                <w:szCs w:val="20"/>
              </w:rPr>
            </w:pPr>
            <w:r>
              <w:rPr>
                <w:rFonts w:cs="Arial"/>
                <w:b/>
                <w:sz w:val="20"/>
                <w:szCs w:val="20"/>
              </w:rPr>
              <w:lastRenderedPageBreak/>
              <w:t>116</w:t>
            </w:r>
          </w:p>
        </w:tc>
        <w:tc>
          <w:tcPr>
            <w:tcW w:w="8805" w:type="dxa"/>
            <w:gridSpan w:val="4"/>
            <w:tcBorders>
              <w:top w:val="nil"/>
              <w:left w:val="nil"/>
              <w:bottom w:val="nil"/>
              <w:right w:val="nil"/>
            </w:tcBorders>
            <w:shd w:val="clear" w:color="auto" w:fill="auto"/>
          </w:tcPr>
          <w:p w14:paraId="76B04E53" w14:textId="77777777" w:rsidR="005F482C" w:rsidRDefault="005F482C" w:rsidP="0056352E">
            <w:pPr>
              <w:rPr>
                <w:rFonts w:cs="Arial"/>
                <w:b/>
                <w:sz w:val="20"/>
                <w:szCs w:val="20"/>
              </w:rPr>
            </w:pPr>
            <w:r w:rsidRPr="005F482C">
              <w:rPr>
                <w:rFonts w:cs="Arial"/>
                <w:b/>
                <w:sz w:val="20"/>
                <w:szCs w:val="20"/>
              </w:rPr>
              <w:t>The Education Act 1994 – Report to Council on Code of Practice Monitoring Responsibilities</w:t>
            </w:r>
          </w:p>
          <w:p w14:paraId="64B9B173" w14:textId="77777777" w:rsidR="005F482C" w:rsidRPr="005F482C" w:rsidRDefault="005F482C" w:rsidP="0056352E">
            <w:pPr>
              <w:rPr>
                <w:rFonts w:cs="Arial"/>
                <w:sz w:val="20"/>
                <w:szCs w:val="20"/>
              </w:rPr>
            </w:pPr>
          </w:p>
          <w:p w14:paraId="42D966D0" w14:textId="7C301539" w:rsidR="005F482C" w:rsidRDefault="005F482C" w:rsidP="0056352E">
            <w:pPr>
              <w:rPr>
                <w:rFonts w:cs="Arial"/>
                <w:sz w:val="20"/>
                <w:szCs w:val="20"/>
              </w:rPr>
            </w:pPr>
            <w:r w:rsidRPr="005F482C">
              <w:rPr>
                <w:rFonts w:cs="Arial"/>
                <w:sz w:val="20"/>
                <w:szCs w:val="20"/>
              </w:rPr>
              <w:t>Council noted a report by the Chief Operating Officer</w:t>
            </w:r>
            <w:r>
              <w:rPr>
                <w:rFonts w:cs="Arial"/>
                <w:sz w:val="20"/>
                <w:szCs w:val="20"/>
              </w:rPr>
              <w:t xml:space="preserve"> </w:t>
            </w:r>
            <w:r w:rsidRPr="005F482C">
              <w:rPr>
                <w:rFonts w:cs="Arial"/>
                <w:sz w:val="20"/>
                <w:szCs w:val="20"/>
              </w:rPr>
              <w:t>on the Students’ Union’s compliance with the Code of Practice drawn up by the University in response to the requirements of the Edu</w:t>
            </w:r>
            <w:r>
              <w:rPr>
                <w:rFonts w:cs="Arial"/>
                <w:sz w:val="20"/>
                <w:szCs w:val="20"/>
              </w:rPr>
              <w:t>cation Act 1994. The Code place</w:t>
            </w:r>
            <w:r w:rsidR="00E52ED3">
              <w:rPr>
                <w:rFonts w:cs="Arial"/>
                <w:sz w:val="20"/>
                <w:szCs w:val="20"/>
              </w:rPr>
              <w:t>s</w:t>
            </w:r>
            <w:r w:rsidRPr="005F482C">
              <w:rPr>
                <w:rFonts w:cs="Arial"/>
                <w:sz w:val="20"/>
                <w:szCs w:val="20"/>
              </w:rPr>
              <w:t xml:space="preserve"> </w:t>
            </w:r>
            <w:proofErr w:type="gramStart"/>
            <w:r w:rsidRPr="005F482C">
              <w:rPr>
                <w:rFonts w:cs="Arial"/>
                <w:sz w:val="20"/>
                <w:szCs w:val="20"/>
              </w:rPr>
              <w:t>a number of</w:t>
            </w:r>
            <w:proofErr w:type="gramEnd"/>
            <w:r w:rsidRPr="005F482C">
              <w:rPr>
                <w:rFonts w:cs="Arial"/>
                <w:sz w:val="20"/>
                <w:szCs w:val="20"/>
              </w:rPr>
              <w:t xml:space="preserve"> annual monitoring responsibilities on the Director of Student Services. An annual review of the Code is also stipulated.</w:t>
            </w:r>
          </w:p>
          <w:p w14:paraId="294A11D4" w14:textId="77777777" w:rsidR="005F482C" w:rsidRDefault="005F482C" w:rsidP="0056352E">
            <w:pPr>
              <w:rPr>
                <w:rFonts w:cs="Arial"/>
                <w:sz w:val="20"/>
                <w:szCs w:val="20"/>
              </w:rPr>
            </w:pPr>
          </w:p>
          <w:p w14:paraId="199ACACF" w14:textId="77777777" w:rsidR="005F482C" w:rsidRDefault="005F482C" w:rsidP="0056352E">
            <w:pPr>
              <w:rPr>
                <w:rFonts w:cs="Arial"/>
                <w:sz w:val="20"/>
                <w:szCs w:val="20"/>
              </w:rPr>
            </w:pPr>
            <w:r w:rsidRPr="00514D4F">
              <w:rPr>
                <w:rFonts w:cs="Arial"/>
                <w:b/>
                <w:sz w:val="20"/>
                <w:szCs w:val="20"/>
              </w:rPr>
              <w:t>RESOLVED</w:t>
            </w:r>
            <w:r>
              <w:rPr>
                <w:rFonts w:cs="Arial"/>
                <w:sz w:val="20"/>
                <w:szCs w:val="20"/>
              </w:rPr>
              <w:t xml:space="preserve"> that</w:t>
            </w:r>
          </w:p>
          <w:p w14:paraId="6263240A" w14:textId="77777777" w:rsidR="005F482C" w:rsidRDefault="005F482C" w:rsidP="0056352E">
            <w:pPr>
              <w:rPr>
                <w:rFonts w:cs="Arial"/>
                <w:sz w:val="20"/>
                <w:szCs w:val="20"/>
              </w:rPr>
            </w:pPr>
          </w:p>
          <w:p w14:paraId="106A805B" w14:textId="5BAB17F1" w:rsidR="005F482C" w:rsidRPr="005F482C" w:rsidRDefault="005F482C" w:rsidP="005F482C">
            <w:pPr>
              <w:rPr>
                <w:rFonts w:cs="Arial"/>
                <w:sz w:val="20"/>
                <w:szCs w:val="20"/>
              </w:rPr>
            </w:pPr>
            <w:r>
              <w:rPr>
                <w:rFonts w:cs="Arial"/>
                <w:sz w:val="20"/>
                <w:szCs w:val="20"/>
              </w:rPr>
              <w:t xml:space="preserve">(i) the </w:t>
            </w:r>
            <w:r w:rsidRPr="005F482C">
              <w:rPr>
                <w:rFonts w:cs="Arial"/>
                <w:sz w:val="20"/>
                <w:szCs w:val="20"/>
              </w:rPr>
              <w:t xml:space="preserve">report </w:t>
            </w:r>
            <w:r>
              <w:rPr>
                <w:rFonts w:cs="Arial"/>
                <w:sz w:val="20"/>
                <w:szCs w:val="20"/>
              </w:rPr>
              <w:t xml:space="preserve">be noted </w:t>
            </w:r>
            <w:r w:rsidRPr="005F482C">
              <w:rPr>
                <w:rFonts w:cs="Arial"/>
                <w:sz w:val="20"/>
                <w:szCs w:val="20"/>
              </w:rPr>
              <w:t>as closing all recommended actions from the academic year 2018-2019, and as discharging the responsibilities of the Director of Student Services for the academic year 2019-20.</w:t>
            </w:r>
          </w:p>
          <w:p w14:paraId="60CAEC09" w14:textId="77777777" w:rsidR="005F482C" w:rsidRPr="005F482C" w:rsidRDefault="005F482C" w:rsidP="005F482C">
            <w:pPr>
              <w:rPr>
                <w:rFonts w:cs="Arial"/>
                <w:sz w:val="20"/>
                <w:szCs w:val="20"/>
              </w:rPr>
            </w:pPr>
          </w:p>
          <w:p w14:paraId="63CE1253" w14:textId="77777777" w:rsidR="005F482C" w:rsidRPr="005F482C" w:rsidRDefault="005F482C" w:rsidP="005F482C">
            <w:pPr>
              <w:rPr>
                <w:rFonts w:cs="Arial"/>
                <w:sz w:val="20"/>
                <w:szCs w:val="20"/>
              </w:rPr>
            </w:pPr>
            <w:r>
              <w:rPr>
                <w:rFonts w:cs="Arial"/>
                <w:sz w:val="20"/>
                <w:szCs w:val="20"/>
              </w:rPr>
              <w:t>(ii) the following recommendations be approved:</w:t>
            </w:r>
          </w:p>
          <w:p w14:paraId="73A1DA0F" w14:textId="77777777" w:rsidR="005F482C" w:rsidRPr="005F482C" w:rsidRDefault="005F482C" w:rsidP="005F482C">
            <w:pPr>
              <w:rPr>
                <w:rFonts w:cs="Arial"/>
                <w:sz w:val="20"/>
                <w:szCs w:val="20"/>
              </w:rPr>
            </w:pPr>
            <w:r w:rsidRPr="005F482C">
              <w:rPr>
                <w:rFonts w:cs="Arial"/>
                <w:sz w:val="20"/>
                <w:szCs w:val="20"/>
              </w:rPr>
              <w:t>•</w:t>
            </w:r>
            <w:r w:rsidRPr="005F482C">
              <w:rPr>
                <w:rFonts w:cs="Arial"/>
                <w:sz w:val="20"/>
                <w:szCs w:val="20"/>
              </w:rPr>
              <w:tab/>
              <w:t xml:space="preserve">An annual review of the Code of Practice has </w:t>
            </w:r>
            <w:r>
              <w:rPr>
                <w:rFonts w:cs="Arial"/>
                <w:sz w:val="20"/>
                <w:szCs w:val="20"/>
              </w:rPr>
              <w:t>been undertaken</w:t>
            </w:r>
            <w:r w:rsidRPr="005F482C">
              <w:rPr>
                <w:rFonts w:cs="Arial"/>
                <w:sz w:val="20"/>
                <w:szCs w:val="20"/>
              </w:rPr>
              <w:t xml:space="preserve">. The following </w:t>
            </w:r>
            <w:r>
              <w:rPr>
                <w:rFonts w:cs="Arial"/>
                <w:sz w:val="20"/>
                <w:szCs w:val="20"/>
              </w:rPr>
              <w:tab/>
            </w:r>
            <w:r w:rsidRPr="005F482C">
              <w:rPr>
                <w:rFonts w:cs="Arial"/>
                <w:sz w:val="20"/>
                <w:szCs w:val="20"/>
              </w:rPr>
              <w:t xml:space="preserve">changes have been made: </w:t>
            </w:r>
          </w:p>
          <w:p w14:paraId="23375E79" w14:textId="77777777" w:rsidR="005F482C" w:rsidRPr="005F482C" w:rsidRDefault="005F482C" w:rsidP="005F482C">
            <w:pPr>
              <w:rPr>
                <w:rFonts w:cs="Arial"/>
                <w:sz w:val="20"/>
                <w:szCs w:val="20"/>
              </w:rPr>
            </w:pPr>
            <w:r>
              <w:rPr>
                <w:rFonts w:cs="Arial"/>
                <w:sz w:val="20"/>
                <w:szCs w:val="20"/>
              </w:rPr>
              <w:tab/>
            </w:r>
            <w:r>
              <w:rPr>
                <w:rFonts w:cs="Arial"/>
                <w:sz w:val="20"/>
                <w:szCs w:val="20"/>
              </w:rPr>
              <w:tab/>
            </w:r>
            <w:r w:rsidRPr="005F482C">
              <w:rPr>
                <w:rFonts w:cs="Arial"/>
                <w:sz w:val="20"/>
                <w:szCs w:val="20"/>
              </w:rPr>
              <w:t>o</w:t>
            </w:r>
            <w:r w:rsidRPr="005F482C">
              <w:rPr>
                <w:rFonts w:cs="Arial"/>
                <w:sz w:val="20"/>
                <w:szCs w:val="20"/>
              </w:rPr>
              <w:tab/>
              <w:t xml:space="preserve">Amendment to point three to remove reference to travel centre </w:t>
            </w:r>
            <w:r>
              <w:rPr>
                <w:rFonts w:cs="Arial"/>
                <w:sz w:val="20"/>
                <w:szCs w:val="20"/>
              </w:rPr>
              <w:tab/>
            </w:r>
            <w:r>
              <w:rPr>
                <w:rFonts w:cs="Arial"/>
                <w:sz w:val="20"/>
                <w:szCs w:val="20"/>
              </w:rPr>
              <w:tab/>
            </w:r>
            <w:r>
              <w:rPr>
                <w:rFonts w:cs="Arial"/>
                <w:sz w:val="20"/>
                <w:szCs w:val="20"/>
              </w:rPr>
              <w:tab/>
            </w:r>
            <w:r>
              <w:rPr>
                <w:rFonts w:cs="Arial"/>
                <w:sz w:val="20"/>
                <w:szCs w:val="20"/>
              </w:rPr>
              <w:tab/>
            </w:r>
            <w:r w:rsidRPr="005F482C">
              <w:rPr>
                <w:rFonts w:cs="Arial"/>
                <w:sz w:val="20"/>
                <w:szCs w:val="20"/>
              </w:rPr>
              <w:t>and use of Advice Centre</w:t>
            </w:r>
          </w:p>
          <w:p w14:paraId="1E300686" w14:textId="77777777" w:rsidR="005F482C" w:rsidRPr="005F482C" w:rsidRDefault="005F482C" w:rsidP="005F482C">
            <w:pPr>
              <w:rPr>
                <w:rFonts w:cs="Arial"/>
                <w:sz w:val="20"/>
                <w:szCs w:val="20"/>
              </w:rPr>
            </w:pPr>
            <w:r>
              <w:rPr>
                <w:rFonts w:cs="Arial"/>
                <w:sz w:val="20"/>
                <w:szCs w:val="20"/>
              </w:rPr>
              <w:tab/>
            </w:r>
            <w:r>
              <w:rPr>
                <w:rFonts w:cs="Arial"/>
                <w:sz w:val="20"/>
                <w:szCs w:val="20"/>
              </w:rPr>
              <w:tab/>
            </w:r>
            <w:r w:rsidRPr="005F482C">
              <w:rPr>
                <w:rFonts w:cs="Arial"/>
                <w:sz w:val="20"/>
                <w:szCs w:val="20"/>
              </w:rPr>
              <w:t>o</w:t>
            </w:r>
            <w:r w:rsidRPr="005F482C">
              <w:rPr>
                <w:rFonts w:cs="Arial"/>
                <w:sz w:val="20"/>
                <w:szCs w:val="20"/>
              </w:rPr>
              <w:tab/>
              <w:t>Amendment to point four with removal of the reference to the NUS</w:t>
            </w:r>
          </w:p>
          <w:p w14:paraId="33770FDB" w14:textId="77777777" w:rsidR="005F482C" w:rsidRDefault="005F482C" w:rsidP="005F482C">
            <w:pPr>
              <w:rPr>
                <w:rFonts w:cs="Arial"/>
                <w:b/>
                <w:sz w:val="20"/>
                <w:szCs w:val="20"/>
              </w:rPr>
            </w:pPr>
            <w:r>
              <w:rPr>
                <w:rFonts w:cs="Arial"/>
                <w:sz w:val="20"/>
                <w:szCs w:val="20"/>
              </w:rPr>
              <w:tab/>
            </w:r>
            <w:r>
              <w:rPr>
                <w:rFonts w:cs="Arial"/>
                <w:sz w:val="20"/>
                <w:szCs w:val="20"/>
              </w:rPr>
              <w:tab/>
            </w:r>
            <w:r w:rsidRPr="005F482C">
              <w:rPr>
                <w:rFonts w:cs="Arial"/>
                <w:sz w:val="20"/>
                <w:szCs w:val="20"/>
              </w:rPr>
              <w:t>o</w:t>
            </w:r>
            <w:r w:rsidRPr="005F482C">
              <w:rPr>
                <w:rFonts w:cs="Arial"/>
                <w:sz w:val="20"/>
                <w:szCs w:val="20"/>
              </w:rPr>
              <w:tab/>
              <w:t xml:space="preserve">Amendment to point five to change wording from ‘Standing </w:t>
            </w:r>
            <w:r>
              <w:rPr>
                <w:rFonts w:cs="Arial"/>
                <w:sz w:val="20"/>
                <w:szCs w:val="20"/>
              </w:rPr>
              <w:tab/>
            </w:r>
            <w:r>
              <w:rPr>
                <w:rFonts w:cs="Arial"/>
                <w:sz w:val="20"/>
                <w:szCs w:val="20"/>
              </w:rPr>
              <w:tab/>
            </w:r>
            <w:r>
              <w:rPr>
                <w:rFonts w:cs="Arial"/>
                <w:sz w:val="20"/>
                <w:szCs w:val="20"/>
              </w:rPr>
              <w:tab/>
            </w:r>
            <w:r>
              <w:rPr>
                <w:rFonts w:cs="Arial"/>
                <w:sz w:val="20"/>
                <w:szCs w:val="20"/>
              </w:rPr>
              <w:tab/>
            </w:r>
            <w:r w:rsidRPr="005F482C">
              <w:rPr>
                <w:rFonts w:cs="Arial"/>
                <w:sz w:val="20"/>
                <w:szCs w:val="20"/>
              </w:rPr>
              <w:t>Orders’ to ‘Articles of Association’</w:t>
            </w:r>
          </w:p>
        </w:tc>
      </w:tr>
      <w:tr w:rsidR="005F482C" w:rsidRPr="00C879BE" w14:paraId="7BFDECEB"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42273AC7" w14:textId="77777777" w:rsidR="005F482C" w:rsidRDefault="005F482C" w:rsidP="0056352E">
            <w:pPr>
              <w:rPr>
                <w:rFonts w:cs="Arial"/>
                <w:b/>
                <w:sz w:val="20"/>
                <w:szCs w:val="20"/>
              </w:rPr>
            </w:pPr>
          </w:p>
        </w:tc>
        <w:tc>
          <w:tcPr>
            <w:tcW w:w="8805" w:type="dxa"/>
            <w:gridSpan w:val="4"/>
            <w:tcBorders>
              <w:top w:val="nil"/>
              <w:left w:val="nil"/>
              <w:bottom w:val="nil"/>
              <w:right w:val="nil"/>
            </w:tcBorders>
            <w:shd w:val="clear" w:color="auto" w:fill="auto"/>
          </w:tcPr>
          <w:p w14:paraId="7606BFED" w14:textId="77777777" w:rsidR="005F482C" w:rsidRPr="005F482C" w:rsidRDefault="005F482C" w:rsidP="0056352E">
            <w:pPr>
              <w:rPr>
                <w:rFonts w:cs="Arial"/>
                <w:b/>
                <w:sz w:val="20"/>
                <w:szCs w:val="20"/>
              </w:rPr>
            </w:pPr>
          </w:p>
        </w:tc>
      </w:tr>
      <w:tr w:rsidR="00514D4F" w:rsidRPr="00C879BE" w14:paraId="1512A0B1"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5776DD18" w14:textId="77777777" w:rsidR="00514D4F" w:rsidRDefault="00514D4F" w:rsidP="0056352E">
            <w:pPr>
              <w:rPr>
                <w:rFonts w:cs="Arial"/>
                <w:b/>
                <w:sz w:val="20"/>
                <w:szCs w:val="20"/>
              </w:rPr>
            </w:pPr>
            <w:r>
              <w:rPr>
                <w:rFonts w:cs="Arial"/>
                <w:b/>
                <w:sz w:val="20"/>
                <w:szCs w:val="20"/>
              </w:rPr>
              <w:t>117</w:t>
            </w:r>
          </w:p>
        </w:tc>
        <w:tc>
          <w:tcPr>
            <w:tcW w:w="8805" w:type="dxa"/>
            <w:gridSpan w:val="4"/>
            <w:tcBorders>
              <w:top w:val="nil"/>
              <w:left w:val="nil"/>
              <w:bottom w:val="nil"/>
              <w:right w:val="nil"/>
            </w:tcBorders>
            <w:shd w:val="clear" w:color="auto" w:fill="auto"/>
          </w:tcPr>
          <w:p w14:paraId="060CC6F3" w14:textId="77777777" w:rsidR="00514D4F" w:rsidRPr="00514D4F" w:rsidRDefault="00514D4F" w:rsidP="00514D4F">
            <w:pPr>
              <w:rPr>
                <w:b/>
                <w:bCs/>
                <w:sz w:val="20"/>
                <w:szCs w:val="20"/>
              </w:rPr>
            </w:pPr>
            <w:r w:rsidRPr="00514D4F">
              <w:rPr>
                <w:b/>
                <w:bCs/>
                <w:sz w:val="20"/>
                <w:szCs w:val="20"/>
              </w:rPr>
              <w:t>Annual Report of the Operation of the Code of Practice to Ensure Freedom of Speech</w:t>
            </w:r>
          </w:p>
          <w:p w14:paraId="33391AF7" w14:textId="77777777" w:rsidR="00514D4F" w:rsidRDefault="00514D4F" w:rsidP="0056352E">
            <w:pPr>
              <w:rPr>
                <w:rFonts w:cs="Arial"/>
                <w:b/>
                <w:sz w:val="20"/>
                <w:szCs w:val="20"/>
              </w:rPr>
            </w:pPr>
          </w:p>
          <w:p w14:paraId="30CC4289" w14:textId="77777777" w:rsidR="00514D4F" w:rsidRDefault="00514D4F" w:rsidP="0056352E">
            <w:pPr>
              <w:rPr>
                <w:rFonts w:cs="Arial"/>
                <w:sz w:val="20"/>
                <w:szCs w:val="20"/>
              </w:rPr>
            </w:pPr>
            <w:r>
              <w:rPr>
                <w:rFonts w:cs="Arial"/>
                <w:sz w:val="20"/>
                <w:szCs w:val="20"/>
              </w:rPr>
              <w:t xml:space="preserve">Council noted a report by the Chief Operating Officer which set out </w:t>
            </w:r>
            <w:r w:rsidRPr="00514D4F">
              <w:rPr>
                <w:rFonts w:cs="Arial"/>
                <w:sz w:val="20"/>
                <w:szCs w:val="20"/>
              </w:rPr>
              <w:t xml:space="preserve">Section 43 of the Education (No 2) Act 1986 </w:t>
            </w:r>
            <w:r>
              <w:rPr>
                <w:rFonts w:cs="Arial"/>
                <w:sz w:val="20"/>
                <w:szCs w:val="20"/>
              </w:rPr>
              <w:t>that required</w:t>
            </w:r>
            <w:r w:rsidRPr="00514D4F">
              <w:rPr>
                <w:rFonts w:cs="Arial"/>
                <w:sz w:val="20"/>
                <w:szCs w:val="20"/>
              </w:rPr>
              <w:t xml:space="preserve"> the University to have in place a code of practice to ensure freedom of speech within the law.  The</w:t>
            </w:r>
            <w:r>
              <w:rPr>
                <w:rFonts w:cs="Arial"/>
                <w:sz w:val="20"/>
                <w:szCs w:val="20"/>
              </w:rPr>
              <w:t xml:space="preserve"> principal purpose of the code wa</w:t>
            </w:r>
            <w:r w:rsidRPr="00514D4F">
              <w:rPr>
                <w:rFonts w:cs="Arial"/>
                <w:sz w:val="20"/>
                <w:szCs w:val="20"/>
              </w:rPr>
              <w:t>s to establish procedures to be followed by the or</w:t>
            </w:r>
            <w:r>
              <w:rPr>
                <w:rFonts w:cs="Arial"/>
                <w:sz w:val="20"/>
                <w:szCs w:val="20"/>
              </w:rPr>
              <w:t>ganisers of any activity which wa</w:t>
            </w:r>
            <w:r w:rsidRPr="00514D4F">
              <w:rPr>
                <w:rFonts w:cs="Arial"/>
                <w:sz w:val="20"/>
                <w:szCs w:val="20"/>
              </w:rPr>
              <w:t>s ‘designated’ by the Responsi</w:t>
            </w:r>
            <w:r>
              <w:rPr>
                <w:rFonts w:cs="Arial"/>
                <w:sz w:val="20"/>
                <w:szCs w:val="20"/>
              </w:rPr>
              <w:t>ble Officer as one where there wa</w:t>
            </w:r>
            <w:r w:rsidRPr="00514D4F">
              <w:rPr>
                <w:rFonts w:cs="Arial"/>
                <w:sz w:val="20"/>
                <w:szCs w:val="20"/>
              </w:rPr>
              <w:t xml:space="preserve">s a reasonable expectation that freedom of speech within the law </w:t>
            </w:r>
            <w:r>
              <w:rPr>
                <w:rFonts w:cs="Arial"/>
                <w:sz w:val="20"/>
                <w:szCs w:val="20"/>
              </w:rPr>
              <w:t>may be compromised.  This wa</w:t>
            </w:r>
            <w:r w:rsidRPr="00514D4F">
              <w:rPr>
                <w:rFonts w:cs="Arial"/>
                <w:sz w:val="20"/>
                <w:szCs w:val="20"/>
              </w:rPr>
              <w:t>s the annual report to Council on the operation of the Code of Practice.</w:t>
            </w:r>
          </w:p>
          <w:p w14:paraId="27213C37" w14:textId="77777777" w:rsidR="00514D4F" w:rsidRDefault="00514D4F" w:rsidP="0056352E">
            <w:pPr>
              <w:rPr>
                <w:rFonts w:cs="Arial"/>
                <w:sz w:val="20"/>
                <w:szCs w:val="20"/>
              </w:rPr>
            </w:pPr>
          </w:p>
          <w:p w14:paraId="410FD788" w14:textId="77777777" w:rsidR="00514D4F" w:rsidRDefault="00514D4F" w:rsidP="0056352E">
            <w:pPr>
              <w:rPr>
                <w:rFonts w:cs="Arial"/>
                <w:sz w:val="20"/>
                <w:szCs w:val="20"/>
              </w:rPr>
            </w:pPr>
            <w:r w:rsidRPr="00514D4F">
              <w:rPr>
                <w:rFonts w:cs="Arial"/>
                <w:b/>
                <w:sz w:val="20"/>
                <w:szCs w:val="20"/>
              </w:rPr>
              <w:t>RESOLVED</w:t>
            </w:r>
            <w:r>
              <w:rPr>
                <w:rFonts w:cs="Arial"/>
                <w:sz w:val="20"/>
                <w:szCs w:val="20"/>
              </w:rPr>
              <w:t xml:space="preserve"> that the report be noted.</w:t>
            </w:r>
          </w:p>
          <w:p w14:paraId="17CC562C" w14:textId="77777777" w:rsidR="00514D4F" w:rsidRPr="00514D4F" w:rsidRDefault="00514D4F" w:rsidP="0056352E">
            <w:pPr>
              <w:rPr>
                <w:rFonts w:cs="Arial"/>
                <w:sz w:val="20"/>
                <w:szCs w:val="20"/>
              </w:rPr>
            </w:pPr>
          </w:p>
        </w:tc>
      </w:tr>
      <w:tr w:rsidR="00514D4F" w:rsidRPr="00C879BE" w14:paraId="7474BBB2"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06AB5D74" w14:textId="77777777" w:rsidR="00514D4F" w:rsidRDefault="00514D4F" w:rsidP="0056352E">
            <w:pPr>
              <w:rPr>
                <w:rFonts w:cs="Arial"/>
                <w:b/>
                <w:sz w:val="20"/>
                <w:szCs w:val="20"/>
              </w:rPr>
            </w:pPr>
            <w:r>
              <w:rPr>
                <w:rFonts w:cs="Arial"/>
                <w:b/>
                <w:sz w:val="20"/>
                <w:szCs w:val="20"/>
              </w:rPr>
              <w:t>118</w:t>
            </w:r>
          </w:p>
        </w:tc>
        <w:tc>
          <w:tcPr>
            <w:tcW w:w="8805" w:type="dxa"/>
            <w:gridSpan w:val="4"/>
            <w:tcBorders>
              <w:top w:val="nil"/>
              <w:left w:val="nil"/>
              <w:bottom w:val="nil"/>
              <w:right w:val="nil"/>
            </w:tcBorders>
            <w:shd w:val="clear" w:color="auto" w:fill="auto"/>
          </w:tcPr>
          <w:p w14:paraId="772CD2A0" w14:textId="77777777" w:rsidR="00514D4F" w:rsidRDefault="00514D4F" w:rsidP="00514D4F">
            <w:pPr>
              <w:rPr>
                <w:b/>
                <w:bCs/>
                <w:sz w:val="20"/>
                <w:szCs w:val="20"/>
              </w:rPr>
            </w:pPr>
            <w:r>
              <w:rPr>
                <w:b/>
                <w:bCs/>
                <w:sz w:val="20"/>
                <w:szCs w:val="20"/>
              </w:rPr>
              <w:t>Remuneration Committee Update</w:t>
            </w:r>
          </w:p>
          <w:p w14:paraId="0D9939C4" w14:textId="77777777" w:rsidR="00514D4F" w:rsidRDefault="00514D4F" w:rsidP="00514D4F">
            <w:pPr>
              <w:rPr>
                <w:b/>
                <w:bCs/>
                <w:sz w:val="20"/>
                <w:szCs w:val="20"/>
              </w:rPr>
            </w:pPr>
          </w:p>
          <w:p w14:paraId="4A49CE92" w14:textId="77777777" w:rsidR="00514D4F" w:rsidRDefault="00514D4F" w:rsidP="00514D4F">
            <w:pPr>
              <w:rPr>
                <w:bCs/>
                <w:sz w:val="20"/>
                <w:szCs w:val="20"/>
              </w:rPr>
            </w:pPr>
            <w:r>
              <w:rPr>
                <w:bCs/>
                <w:sz w:val="20"/>
                <w:szCs w:val="20"/>
              </w:rPr>
              <w:t xml:space="preserve">The Chair of the Remuneration Committee stated that the Committee had approved contract extensions for the Interim Chief Operating Officer and the Interim Dean of FEPS, had considered some of the staffing measures required under the </w:t>
            </w:r>
            <w:r w:rsidR="00436F32">
              <w:rPr>
                <w:bCs/>
                <w:sz w:val="20"/>
                <w:szCs w:val="20"/>
              </w:rPr>
              <w:t>scenario</w:t>
            </w:r>
            <w:r>
              <w:rPr>
                <w:bCs/>
                <w:sz w:val="20"/>
                <w:szCs w:val="20"/>
              </w:rPr>
              <w:t xml:space="preserve"> planning and how it may affect the Executive team and also received and commented on the </w:t>
            </w:r>
            <w:r w:rsidR="00436F32">
              <w:rPr>
                <w:bCs/>
                <w:sz w:val="20"/>
                <w:szCs w:val="20"/>
              </w:rPr>
              <w:t>first</w:t>
            </w:r>
            <w:r>
              <w:rPr>
                <w:bCs/>
                <w:sz w:val="20"/>
                <w:szCs w:val="20"/>
              </w:rPr>
              <w:t xml:space="preserve"> draft of the committee’s Annual Report.</w:t>
            </w:r>
          </w:p>
          <w:p w14:paraId="0C86A3FD" w14:textId="77777777" w:rsidR="00436F32" w:rsidRDefault="00436F32" w:rsidP="00514D4F">
            <w:pPr>
              <w:rPr>
                <w:bCs/>
                <w:sz w:val="20"/>
                <w:szCs w:val="20"/>
              </w:rPr>
            </w:pPr>
          </w:p>
          <w:p w14:paraId="244DD86F" w14:textId="77777777" w:rsidR="00436F32" w:rsidRDefault="00436F32" w:rsidP="00514D4F">
            <w:pPr>
              <w:rPr>
                <w:bCs/>
                <w:sz w:val="20"/>
                <w:szCs w:val="20"/>
              </w:rPr>
            </w:pPr>
            <w:r w:rsidRPr="00436F32">
              <w:rPr>
                <w:b/>
                <w:bCs/>
                <w:sz w:val="20"/>
                <w:szCs w:val="20"/>
              </w:rPr>
              <w:t>RESOLVED</w:t>
            </w:r>
            <w:r>
              <w:rPr>
                <w:bCs/>
                <w:sz w:val="20"/>
                <w:szCs w:val="20"/>
              </w:rPr>
              <w:t xml:space="preserve"> that the update be noted.</w:t>
            </w:r>
          </w:p>
          <w:p w14:paraId="5974E4A7" w14:textId="77777777" w:rsidR="00436F32" w:rsidRPr="00514D4F" w:rsidRDefault="00436F32" w:rsidP="00514D4F">
            <w:pPr>
              <w:rPr>
                <w:bCs/>
                <w:sz w:val="20"/>
                <w:szCs w:val="20"/>
              </w:rPr>
            </w:pPr>
          </w:p>
        </w:tc>
      </w:tr>
      <w:tr w:rsidR="00436F32" w:rsidRPr="00C879BE" w14:paraId="2AFF12CB" w14:textId="77777777" w:rsidTr="00285166">
        <w:tblPrEx>
          <w:tblBorders>
            <w:left w:val="single" w:sz="4" w:space="0" w:color="auto"/>
            <w:right w:val="single" w:sz="4" w:space="0" w:color="auto"/>
            <w:insideV w:val="single" w:sz="4" w:space="0" w:color="auto"/>
          </w:tblBorders>
          <w:tblCellMar>
            <w:left w:w="57" w:type="dxa"/>
            <w:right w:w="57" w:type="dxa"/>
          </w:tblCellMar>
          <w:tblLook w:val="04A0" w:firstRow="1" w:lastRow="0" w:firstColumn="1" w:lastColumn="0" w:noHBand="0" w:noVBand="1"/>
        </w:tblPrEx>
        <w:tc>
          <w:tcPr>
            <w:tcW w:w="834" w:type="dxa"/>
            <w:tcBorders>
              <w:top w:val="nil"/>
              <w:left w:val="nil"/>
              <w:bottom w:val="nil"/>
              <w:right w:val="nil"/>
            </w:tcBorders>
          </w:tcPr>
          <w:p w14:paraId="3D51A47C" w14:textId="77777777" w:rsidR="00436F32" w:rsidRDefault="00436F32" w:rsidP="0056352E">
            <w:pPr>
              <w:rPr>
                <w:rFonts w:cs="Arial"/>
                <w:b/>
                <w:sz w:val="20"/>
                <w:szCs w:val="20"/>
              </w:rPr>
            </w:pPr>
            <w:r>
              <w:rPr>
                <w:rFonts w:cs="Arial"/>
                <w:b/>
                <w:sz w:val="20"/>
                <w:szCs w:val="20"/>
              </w:rPr>
              <w:lastRenderedPageBreak/>
              <w:t>119</w:t>
            </w:r>
          </w:p>
        </w:tc>
        <w:tc>
          <w:tcPr>
            <w:tcW w:w="8805" w:type="dxa"/>
            <w:gridSpan w:val="4"/>
            <w:tcBorders>
              <w:top w:val="nil"/>
              <w:left w:val="nil"/>
              <w:bottom w:val="nil"/>
              <w:right w:val="nil"/>
            </w:tcBorders>
            <w:shd w:val="clear" w:color="auto" w:fill="auto"/>
          </w:tcPr>
          <w:p w14:paraId="001FF69A" w14:textId="77777777" w:rsidR="00436F32" w:rsidRDefault="00436F32" w:rsidP="00514D4F">
            <w:pPr>
              <w:rPr>
                <w:b/>
                <w:bCs/>
                <w:sz w:val="20"/>
                <w:szCs w:val="20"/>
              </w:rPr>
            </w:pPr>
            <w:r>
              <w:rPr>
                <w:b/>
                <w:bCs/>
                <w:sz w:val="20"/>
                <w:szCs w:val="20"/>
              </w:rPr>
              <w:t>Chair’s Actions</w:t>
            </w:r>
          </w:p>
          <w:p w14:paraId="65442558" w14:textId="77777777" w:rsidR="00436F32" w:rsidRDefault="00436F32" w:rsidP="00514D4F">
            <w:pPr>
              <w:rPr>
                <w:b/>
                <w:bCs/>
                <w:sz w:val="20"/>
                <w:szCs w:val="20"/>
              </w:rPr>
            </w:pPr>
          </w:p>
          <w:p w14:paraId="0259920B" w14:textId="4DC24DE5" w:rsidR="00436F32" w:rsidRDefault="00436F32" w:rsidP="00514D4F">
            <w:pPr>
              <w:rPr>
                <w:bCs/>
                <w:sz w:val="20"/>
                <w:szCs w:val="20"/>
              </w:rPr>
            </w:pPr>
            <w:r>
              <w:rPr>
                <w:b/>
                <w:bCs/>
                <w:sz w:val="20"/>
                <w:szCs w:val="20"/>
              </w:rPr>
              <w:t xml:space="preserve">RESOLVED </w:t>
            </w:r>
            <w:r>
              <w:rPr>
                <w:bCs/>
                <w:sz w:val="20"/>
                <w:szCs w:val="20"/>
              </w:rPr>
              <w:t xml:space="preserve">that the following </w:t>
            </w:r>
            <w:r w:rsidR="00E52ED3">
              <w:rPr>
                <w:bCs/>
                <w:sz w:val="20"/>
                <w:szCs w:val="20"/>
              </w:rPr>
              <w:t>C</w:t>
            </w:r>
            <w:r>
              <w:rPr>
                <w:bCs/>
                <w:sz w:val="20"/>
                <w:szCs w:val="20"/>
              </w:rPr>
              <w:t>hair’s action be noted:</w:t>
            </w:r>
          </w:p>
          <w:p w14:paraId="41444F2B" w14:textId="77777777" w:rsidR="00436F32" w:rsidRDefault="00436F32" w:rsidP="00514D4F">
            <w:pPr>
              <w:rPr>
                <w:bCs/>
                <w:sz w:val="20"/>
                <w:szCs w:val="20"/>
              </w:rPr>
            </w:pPr>
          </w:p>
          <w:p w14:paraId="749DEDAD" w14:textId="77777777" w:rsidR="00436F32" w:rsidRDefault="00436F32" w:rsidP="00514D4F">
            <w:pPr>
              <w:rPr>
                <w:bCs/>
                <w:sz w:val="20"/>
                <w:szCs w:val="20"/>
              </w:rPr>
            </w:pPr>
            <w:r w:rsidRPr="00436F32">
              <w:rPr>
                <w:bCs/>
                <w:sz w:val="20"/>
                <w:szCs w:val="20"/>
              </w:rPr>
              <w:t xml:space="preserve">Senate </w:t>
            </w:r>
            <w:proofErr w:type="spellStart"/>
            <w:r w:rsidRPr="00436F32">
              <w:rPr>
                <w:bCs/>
                <w:sz w:val="20"/>
                <w:szCs w:val="20"/>
              </w:rPr>
              <w:t>ToR</w:t>
            </w:r>
            <w:proofErr w:type="spellEnd"/>
            <w:r w:rsidRPr="00436F32">
              <w:rPr>
                <w:bCs/>
                <w:sz w:val="20"/>
                <w:szCs w:val="20"/>
              </w:rPr>
              <w:t xml:space="preserve"> – Change to levels in FEPS at the next round of elections in 2022</w:t>
            </w:r>
            <w:r>
              <w:rPr>
                <w:bCs/>
                <w:sz w:val="20"/>
                <w:szCs w:val="20"/>
              </w:rPr>
              <w:t>.</w:t>
            </w:r>
          </w:p>
          <w:p w14:paraId="69B3FA82" w14:textId="77777777" w:rsidR="00436F32" w:rsidRDefault="00436F32" w:rsidP="00514D4F">
            <w:pPr>
              <w:rPr>
                <w:bCs/>
                <w:sz w:val="20"/>
                <w:szCs w:val="20"/>
              </w:rPr>
            </w:pPr>
          </w:p>
          <w:p w14:paraId="389E4663" w14:textId="77777777" w:rsidR="00436F32" w:rsidRPr="00436F32" w:rsidRDefault="00436F32" w:rsidP="00514D4F">
            <w:pPr>
              <w:rPr>
                <w:bCs/>
                <w:sz w:val="20"/>
                <w:szCs w:val="20"/>
              </w:rPr>
            </w:pPr>
          </w:p>
        </w:tc>
      </w:tr>
    </w:tbl>
    <w:p w14:paraId="1680AC86" w14:textId="77777777" w:rsidR="00A809C5" w:rsidRPr="008028C4" w:rsidRDefault="00A809C5" w:rsidP="00A809C5">
      <w:pPr>
        <w:pStyle w:val="Address"/>
        <w:rPr>
          <w:rFonts w:cs="Arial"/>
          <w:b/>
          <w:bCs/>
          <w:sz w:val="20"/>
          <w:szCs w:val="20"/>
        </w:rPr>
      </w:pPr>
      <w:r w:rsidRPr="008028C4">
        <w:rPr>
          <w:rFonts w:cs="Arial"/>
          <w:b/>
          <w:bCs/>
          <w:sz w:val="20"/>
          <w:szCs w:val="20"/>
        </w:rPr>
        <w:t>Restricted Items</w:t>
      </w:r>
    </w:p>
    <w:p w14:paraId="61673BB0" w14:textId="77777777" w:rsidR="00A809C5" w:rsidRPr="008028C4" w:rsidRDefault="00A809C5" w:rsidP="00A809C5">
      <w:pPr>
        <w:pStyle w:val="Address"/>
        <w:rPr>
          <w:rFonts w:cs="Arial"/>
          <w:sz w:val="20"/>
          <w:szCs w:val="20"/>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1"/>
        <w:gridCol w:w="9139"/>
      </w:tblGrid>
      <w:tr w:rsidR="00A13078" w:rsidRPr="008028C4" w14:paraId="44029185" w14:textId="77777777" w:rsidTr="00FB637F">
        <w:tc>
          <w:tcPr>
            <w:tcW w:w="851" w:type="dxa"/>
            <w:tcBorders>
              <w:top w:val="nil"/>
              <w:left w:val="nil"/>
              <w:bottom w:val="nil"/>
              <w:right w:val="nil"/>
            </w:tcBorders>
          </w:tcPr>
          <w:p w14:paraId="5069B2D1" w14:textId="77777777" w:rsidR="00A13078" w:rsidRPr="008028C4" w:rsidRDefault="00436F32" w:rsidP="00FB637F">
            <w:pPr>
              <w:rPr>
                <w:rFonts w:cs="Arial"/>
                <w:b/>
                <w:sz w:val="20"/>
                <w:szCs w:val="20"/>
              </w:rPr>
            </w:pPr>
            <w:r>
              <w:rPr>
                <w:rFonts w:cs="Arial"/>
                <w:b/>
                <w:sz w:val="20"/>
                <w:szCs w:val="20"/>
              </w:rPr>
              <w:t>120</w:t>
            </w:r>
          </w:p>
        </w:tc>
        <w:tc>
          <w:tcPr>
            <w:tcW w:w="9139" w:type="dxa"/>
            <w:tcBorders>
              <w:top w:val="nil"/>
              <w:left w:val="nil"/>
              <w:bottom w:val="nil"/>
              <w:right w:val="nil"/>
            </w:tcBorders>
            <w:shd w:val="clear" w:color="auto" w:fill="auto"/>
          </w:tcPr>
          <w:p w14:paraId="01FDDAA4" w14:textId="77777777" w:rsidR="00A13078" w:rsidRDefault="002513D9" w:rsidP="00FB637F">
            <w:pPr>
              <w:rPr>
                <w:rFonts w:cs="Arial"/>
                <w:b/>
                <w:sz w:val="20"/>
                <w:szCs w:val="20"/>
              </w:rPr>
            </w:pPr>
            <w:r>
              <w:rPr>
                <w:rFonts w:cs="Arial"/>
                <w:b/>
                <w:sz w:val="20"/>
                <w:szCs w:val="20"/>
              </w:rPr>
              <w:t xml:space="preserve">Restricted HR </w:t>
            </w:r>
            <w:r w:rsidR="00D206C6">
              <w:rPr>
                <w:rFonts w:cs="Arial"/>
                <w:b/>
                <w:sz w:val="20"/>
                <w:szCs w:val="20"/>
              </w:rPr>
              <w:t>Matter</w:t>
            </w:r>
            <w:r>
              <w:rPr>
                <w:rFonts w:cs="Arial"/>
                <w:b/>
                <w:sz w:val="20"/>
                <w:szCs w:val="20"/>
              </w:rPr>
              <w:t>s</w:t>
            </w:r>
          </w:p>
          <w:p w14:paraId="02B96979" w14:textId="77777777" w:rsidR="00A13078" w:rsidRPr="008028C4" w:rsidRDefault="00A13078" w:rsidP="00FB637F">
            <w:pPr>
              <w:rPr>
                <w:rFonts w:cs="Arial"/>
                <w:b/>
                <w:sz w:val="20"/>
                <w:szCs w:val="20"/>
              </w:rPr>
            </w:pPr>
          </w:p>
          <w:p w14:paraId="1E0FFAAA" w14:textId="77777777" w:rsidR="008E7E5F" w:rsidRDefault="00436F32" w:rsidP="002513D9">
            <w:pPr>
              <w:rPr>
                <w:rFonts w:cs="Arial"/>
                <w:bCs/>
                <w:sz w:val="20"/>
                <w:szCs w:val="20"/>
              </w:rPr>
            </w:pPr>
            <w:r>
              <w:rPr>
                <w:rFonts w:cs="Arial"/>
                <w:bCs/>
                <w:sz w:val="20"/>
                <w:szCs w:val="20"/>
              </w:rPr>
              <w:t>(i) Redundancies</w:t>
            </w:r>
          </w:p>
          <w:p w14:paraId="660FFC9B" w14:textId="77777777" w:rsidR="00436F32" w:rsidRDefault="00436F32" w:rsidP="002513D9">
            <w:pPr>
              <w:rPr>
                <w:rFonts w:cs="Arial"/>
                <w:bCs/>
                <w:sz w:val="20"/>
                <w:szCs w:val="20"/>
              </w:rPr>
            </w:pPr>
          </w:p>
          <w:p w14:paraId="0E5AA8FE" w14:textId="77777777" w:rsidR="00436F32" w:rsidRDefault="00436F32" w:rsidP="002513D9">
            <w:pPr>
              <w:rPr>
                <w:rFonts w:cs="Arial"/>
                <w:bCs/>
                <w:sz w:val="20"/>
                <w:szCs w:val="20"/>
              </w:rPr>
            </w:pPr>
            <w:r>
              <w:rPr>
                <w:rFonts w:cs="Arial"/>
                <w:bCs/>
                <w:sz w:val="20"/>
                <w:szCs w:val="20"/>
              </w:rPr>
              <w:t>An additional redundancy report was agreed for consideration at the meeting.</w:t>
            </w:r>
          </w:p>
          <w:p w14:paraId="4711D437" w14:textId="77777777" w:rsidR="002513D9" w:rsidRDefault="002513D9" w:rsidP="002513D9">
            <w:pPr>
              <w:rPr>
                <w:rFonts w:cs="Arial"/>
                <w:bCs/>
                <w:sz w:val="20"/>
                <w:szCs w:val="20"/>
              </w:rPr>
            </w:pPr>
          </w:p>
          <w:p w14:paraId="120727D0" w14:textId="77777777" w:rsidR="00D22262" w:rsidRDefault="002513D9" w:rsidP="00A72487">
            <w:pPr>
              <w:rPr>
                <w:rFonts w:cs="Arial"/>
                <w:bCs/>
                <w:sz w:val="20"/>
                <w:szCs w:val="20"/>
              </w:rPr>
            </w:pPr>
            <w:r w:rsidRPr="00D22262">
              <w:rPr>
                <w:rFonts w:cs="Arial"/>
                <w:b/>
                <w:bCs/>
                <w:sz w:val="20"/>
                <w:szCs w:val="20"/>
              </w:rPr>
              <w:t>RESOLVED</w:t>
            </w:r>
            <w:r>
              <w:rPr>
                <w:rFonts w:cs="Arial"/>
                <w:bCs/>
                <w:sz w:val="20"/>
                <w:szCs w:val="20"/>
              </w:rPr>
              <w:t xml:space="preserve"> </w:t>
            </w:r>
            <w:r w:rsidR="00436F32">
              <w:rPr>
                <w:rFonts w:cs="Arial"/>
                <w:bCs/>
                <w:sz w:val="20"/>
                <w:szCs w:val="20"/>
              </w:rPr>
              <w:t>That both redundancy reports</w:t>
            </w:r>
            <w:r w:rsidR="001B5963">
              <w:rPr>
                <w:rFonts w:cs="Arial"/>
                <w:bCs/>
                <w:sz w:val="20"/>
                <w:szCs w:val="20"/>
              </w:rPr>
              <w:t xml:space="preserve"> be approved.</w:t>
            </w:r>
          </w:p>
          <w:p w14:paraId="378F0445" w14:textId="77777777" w:rsidR="001B5963" w:rsidRDefault="001B5963" w:rsidP="00A72487">
            <w:pPr>
              <w:rPr>
                <w:rFonts w:cs="Arial"/>
                <w:bCs/>
                <w:sz w:val="20"/>
                <w:szCs w:val="20"/>
              </w:rPr>
            </w:pPr>
          </w:p>
          <w:p w14:paraId="04A39D44" w14:textId="77777777" w:rsidR="001B5963" w:rsidRDefault="00436F32" w:rsidP="00A72487">
            <w:pPr>
              <w:rPr>
                <w:rFonts w:cs="Arial"/>
                <w:bCs/>
                <w:sz w:val="20"/>
                <w:szCs w:val="20"/>
              </w:rPr>
            </w:pPr>
            <w:r>
              <w:rPr>
                <w:rFonts w:cs="Arial"/>
                <w:bCs/>
                <w:sz w:val="20"/>
                <w:szCs w:val="20"/>
              </w:rPr>
              <w:t>(ii) Heads of School</w:t>
            </w:r>
          </w:p>
          <w:p w14:paraId="13D4F726" w14:textId="77777777" w:rsidR="001B5963" w:rsidRDefault="001B5963" w:rsidP="00A72487">
            <w:pPr>
              <w:rPr>
                <w:rFonts w:cs="Arial"/>
                <w:bCs/>
                <w:sz w:val="20"/>
                <w:szCs w:val="20"/>
              </w:rPr>
            </w:pPr>
          </w:p>
          <w:p w14:paraId="6C1A1E2E" w14:textId="77777777" w:rsidR="001B5963" w:rsidRDefault="001B5963" w:rsidP="00A72487">
            <w:pPr>
              <w:rPr>
                <w:rFonts w:cs="Arial"/>
                <w:bCs/>
                <w:sz w:val="20"/>
                <w:szCs w:val="20"/>
              </w:rPr>
            </w:pPr>
            <w:r w:rsidRPr="001B5963">
              <w:rPr>
                <w:rFonts w:cs="Arial"/>
                <w:b/>
                <w:bCs/>
                <w:sz w:val="20"/>
                <w:szCs w:val="20"/>
              </w:rPr>
              <w:t>RESOLVED</w:t>
            </w:r>
            <w:r w:rsidR="00436F32">
              <w:rPr>
                <w:rFonts w:cs="Arial"/>
                <w:bCs/>
                <w:sz w:val="20"/>
                <w:szCs w:val="20"/>
              </w:rPr>
              <w:t xml:space="preserve"> That the report (with one amended start date) </w:t>
            </w:r>
            <w:r>
              <w:rPr>
                <w:rFonts w:cs="Arial"/>
                <w:bCs/>
                <w:sz w:val="20"/>
                <w:szCs w:val="20"/>
              </w:rPr>
              <w:t>be approved.</w:t>
            </w:r>
          </w:p>
          <w:p w14:paraId="4104BF73" w14:textId="77777777" w:rsidR="00436F32" w:rsidRDefault="00436F32" w:rsidP="00A72487">
            <w:pPr>
              <w:rPr>
                <w:rFonts w:cs="Arial"/>
                <w:bCs/>
                <w:sz w:val="20"/>
                <w:szCs w:val="20"/>
              </w:rPr>
            </w:pPr>
          </w:p>
          <w:p w14:paraId="6E31789D" w14:textId="77777777" w:rsidR="00436F32" w:rsidRDefault="00436F32" w:rsidP="00A72487">
            <w:pPr>
              <w:rPr>
                <w:rFonts w:cs="Arial"/>
                <w:bCs/>
                <w:sz w:val="20"/>
                <w:szCs w:val="20"/>
              </w:rPr>
            </w:pPr>
            <w:r>
              <w:rPr>
                <w:rFonts w:cs="Arial"/>
                <w:bCs/>
                <w:sz w:val="20"/>
                <w:szCs w:val="20"/>
              </w:rPr>
              <w:t>(iii) Moving Pathways</w:t>
            </w:r>
          </w:p>
          <w:p w14:paraId="7AED1711" w14:textId="77777777" w:rsidR="00436F32" w:rsidRDefault="00436F32" w:rsidP="00A72487">
            <w:pPr>
              <w:rPr>
                <w:rFonts w:cs="Arial"/>
                <w:bCs/>
                <w:sz w:val="20"/>
                <w:szCs w:val="20"/>
              </w:rPr>
            </w:pPr>
          </w:p>
          <w:p w14:paraId="749AE713" w14:textId="77777777" w:rsidR="00436F32" w:rsidRDefault="00436F32" w:rsidP="00A72487">
            <w:pPr>
              <w:rPr>
                <w:rFonts w:cs="Arial"/>
                <w:bCs/>
                <w:sz w:val="20"/>
                <w:szCs w:val="20"/>
              </w:rPr>
            </w:pPr>
            <w:r w:rsidRPr="00436F32">
              <w:rPr>
                <w:rFonts w:cs="Arial"/>
                <w:b/>
                <w:bCs/>
                <w:sz w:val="20"/>
                <w:szCs w:val="20"/>
              </w:rPr>
              <w:t>RESOLVED</w:t>
            </w:r>
            <w:r>
              <w:rPr>
                <w:rFonts w:cs="Arial"/>
                <w:bCs/>
                <w:sz w:val="20"/>
                <w:szCs w:val="20"/>
              </w:rPr>
              <w:t xml:space="preserve"> that the report be approved.</w:t>
            </w:r>
          </w:p>
          <w:p w14:paraId="759FC680" w14:textId="77777777" w:rsidR="00436F32" w:rsidRDefault="00436F32" w:rsidP="00A72487">
            <w:pPr>
              <w:rPr>
                <w:rFonts w:cs="Arial"/>
                <w:bCs/>
                <w:sz w:val="20"/>
                <w:szCs w:val="20"/>
              </w:rPr>
            </w:pPr>
          </w:p>
          <w:p w14:paraId="0D8F0D6C" w14:textId="77777777" w:rsidR="00D22262" w:rsidRPr="0056157A" w:rsidRDefault="00D22262" w:rsidP="00837904">
            <w:pPr>
              <w:rPr>
                <w:rFonts w:cs="Arial"/>
                <w:bCs/>
                <w:sz w:val="20"/>
                <w:szCs w:val="20"/>
              </w:rPr>
            </w:pPr>
          </w:p>
        </w:tc>
      </w:tr>
      <w:tr w:rsidR="00436F32" w:rsidRPr="008028C4" w14:paraId="53803938" w14:textId="77777777" w:rsidTr="00FB637F">
        <w:tc>
          <w:tcPr>
            <w:tcW w:w="851" w:type="dxa"/>
            <w:tcBorders>
              <w:top w:val="nil"/>
              <w:left w:val="nil"/>
              <w:bottom w:val="nil"/>
              <w:right w:val="nil"/>
            </w:tcBorders>
          </w:tcPr>
          <w:p w14:paraId="31957861" w14:textId="77777777" w:rsidR="00436F32" w:rsidRDefault="00436F32" w:rsidP="00FB637F">
            <w:pPr>
              <w:rPr>
                <w:rFonts w:cs="Arial"/>
                <w:b/>
                <w:sz w:val="20"/>
                <w:szCs w:val="20"/>
              </w:rPr>
            </w:pPr>
            <w:r>
              <w:rPr>
                <w:rFonts w:cs="Arial"/>
                <w:b/>
                <w:sz w:val="20"/>
                <w:szCs w:val="20"/>
              </w:rPr>
              <w:t>121</w:t>
            </w:r>
          </w:p>
        </w:tc>
        <w:tc>
          <w:tcPr>
            <w:tcW w:w="9139" w:type="dxa"/>
            <w:tcBorders>
              <w:top w:val="nil"/>
              <w:left w:val="nil"/>
              <w:bottom w:val="nil"/>
              <w:right w:val="nil"/>
            </w:tcBorders>
            <w:shd w:val="clear" w:color="auto" w:fill="auto"/>
          </w:tcPr>
          <w:p w14:paraId="4E37EBA4" w14:textId="77777777" w:rsidR="00436F32" w:rsidRDefault="00436F32" w:rsidP="00FB637F">
            <w:pPr>
              <w:rPr>
                <w:rFonts w:cs="Arial"/>
                <w:b/>
                <w:sz w:val="20"/>
                <w:szCs w:val="20"/>
              </w:rPr>
            </w:pPr>
            <w:r>
              <w:rPr>
                <w:rFonts w:cs="Arial"/>
                <w:b/>
                <w:sz w:val="20"/>
                <w:szCs w:val="20"/>
              </w:rPr>
              <w:t>Restricted Senate Matters – Emeritus Professors</w:t>
            </w:r>
          </w:p>
          <w:p w14:paraId="5257DA94" w14:textId="77777777" w:rsidR="00436F32" w:rsidRDefault="00436F32" w:rsidP="00FB637F">
            <w:pPr>
              <w:rPr>
                <w:rFonts w:cs="Arial"/>
                <w:b/>
                <w:sz w:val="20"/>
                <w:szCs w:val="20"/>
              </w:rPr>
            </w:pPr>
          </w:p>
          <w:p w14:paraId="0F693E1B" w14:textId="77777777" w:rsidR="00436F32" w:rsidRPr="00436F32" w:rsidRDefault="00436F32" w:rsidP="00FB637F">
            <w:pPr>
              <w:rPr>
                <w:rFonts w:cs="Arial"/>
                <w:sz w:val="20"/>
                <w:szCs w:val="20"/>
              </w:rPr>
            </w:pPr>
            <w:r>
              <w:rPr>
                <w:rFonts w:cs="Arial"/>
                <w:b/>
                <w:sz w:val="20"/>
                <w:szCs w:val="20"/>
              </w:rPr>
              <w:t xml:space="preserve">RESOLVED </w:t>
            </w:r>
            <w:r>
              <w:rPr>
                <w:rFonts w:cs="Arial"/>
                <w:sz w:val="20"/>
                <w:szCs w:val="20"/>
              </w:rPr>
              <w:t>that the list of Emeritus Professors be approved.</w:t>
            </w:r>
          </w:p>
        </w:tc>
      </w:tr>
    </w:tbl>
    <w:p w14:paraId="79200802" w14:textId="77777777" w:rsidR="00837904" w:rsidRDefault="00837904" w:rsidP="00CE116D">
      <w:pPr>
        <w:pStyle w:val="Address"/>
        <w:jc w:val="center"/>
        <w:rPr>
          <w:rFonts w:cs="Arial"/>
          <w:b/>
          <w:bCs/>
          <w:sz w:val="20"/>
          <w:szCs w:val="20"/>
        </w:rPr>
      </w:pPr>
    </w:p>
    <w:p w14:paraId="5CE03FCB" w14:textId="77777777" w:rsidR="00837904" w:rsidRDefault="00837904" w:rsidP="00CE116D">
      <w:pPr>
        <w:pStyle w:val="Address"/>
        <w:jc w:val="center"/>
        <w:rPr>
          <w:rFonts w:cs="Arial"/>
          <w:b/>
          <w:bCs/>
          <w:sz w:val="20"/>
          <w:szCs w:val="20"/>
        </w:rPr>
      </w:pPr>
    </w:p>
    <w:p w14:paraId="21FC2D62" w14:textId="77777777" w:rsidR="00837904" w:rsidRDefault="00837904" w:rsidP="00CE116D">
      <w:pPr>
        <w:pStyle w:val="Address"/>
        <w:jc w:val="center"/>
        <w:rPr>
          <w:rFonts w:cs="Arial"/>
          <w:b/>
          <w:bCs/>
          <w:sz w:val="20"/>
          <w:szCs w:val="20"/>
        </w:rPr>
      </w:pPr>
    </w:p>
    <w:p w14:paraId="6265CBE3" w14:textId="77777777" w:rsidR="00F53C79" w:rsidRPr="00CE116D" w:rsidRDefault="008244CA" w:rsidP="00CE116D">
      <w:pPr>
        <w:pStyle w:val="Address"/>
        <w:jc w:val="center"/>
        <w:rPr>
          <w:rFonts w:cs="Arial"/>
          <w:b/>
          <w:bCs/>
          <w:sz w:val="20"/>
          <w:szCs w:val="20"/>
        </w:rPr>
      </w:pPr>
      <w:r w:rsidRPr="00CE116D">
        <w:rPr>
          <w:rFonts w:cs="Arial"/>
          <w:b/>
          <w:bCs/>
          <w:sz w:val="20"/>
          <w:szCs w:val="20"/>
        </w:rPr>
        <w:t xml:space="preserve">The meeting </w:t>
      </w:r>
      <w:r w:rsidR="00D22262">
        <w:rPr>
          <w:rFonts w:cs="Arial"/>
          <w:b/>
          <w:bCs/>
          <w:sz w:val="20"/>
          <w:szCs w:val="20"/>
        </w:rPr>
        <w:t>concluded</w:t>
      </w:r>
      <w:r w:rsidR="00656A4F">
        <w:rPr>
          <w:rFonts w:cs="Arial"/>
          <w:b/>
          <w:bCs/>
          <w:sz w:val="20"/>
          <w:szCs w:val="20"/>
        </w:rPr>
        <w:t xml:space="preserve"> </w:t>
      </w:r>
      <w:r w:rsidR="00126190">
        <w:rPr>
          <w:rFonts w:cs="Arial"/>
          <w:b/>
          <w:bCs/>
          <w:sz w:val="20"/>
          <w:szCs w:val="20"/>
        </w:rPr>
        <w:t>at 4.18</w:t>
      </w:r>
      <w:r w:rsidR="00F53C79" w:rsidRPr="00CE116D">
        <w:rPr>
          <w:rFonts w:cs="Arial"/>
          <w:b/>
          <w:bCs/>
          <w:sz w:val="20"/>
          <w:szCs w:val="20"/>
        </w:rPr>
        <w:t>pm</w:t>
      </w:r>
    </w:p>
    <w:p w14:paraId="764BA1A6" w14:textId="77777777" w:rsidR="00951E85" w:rsidRDefault="00951E85" w:rsidP="005E5E4D">
      <w:pPr>
        <w:pStyle w:val="Address"/>
        <w:rPr>
          <w:rFonts w:cs="Arial"/>
          <w:sz w:val="20"/>
          <w:szCs w:val="20"/>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1"/>
        <w:gridCol w:w="9139"/>
      </w:tblGrid>
      <w:tr w:rsidR="00A05C60" w:rsidRPr="008028C4" w14:paraId="472069E2" w14:textId="77777777" w:rsidTr="00FB637F">
        <w:tc>
          <w:tcPr>
            <w:tcW w:w="851" w:type="dxa"/>
            <w:tcBorders>
              <w:top w:val="nil"/>
              <w:left w:val="nil"/>
              <w:bottom w:val="nil"/>
              <w:right w:val="nil"/>
            </w:tcBorders>
          </w:tcPr>
          <w:p w14:paraId="4E854382" w14:textId="77777777" w:rsidR="00A05C60" w:rsidRDefault="00A05C60" w:rsidP="00A13078">
            <w:pPr>
              <w:spacing w:line="240" w:lineRule="auto"/>
              <w:rPr>
                <w:rFonts w:cs="Arial"/>
                <w:b/>
                <w:sz w:val="20"/>
                <w:szCs w:val="20"/>
              </w:rPr>
            </w:pPr>
          </w:p>
        </w:tc>
        <w:tc>
          <w:tcPr>
            <w:tcW w:w="9139" w:type="dxa"/>
            <w:tcBorders>
              <w:top w:val="nil"/>
              <w:left w:val="nil"/>
              <w:bottom w:val="nil"/>
              <w:right w:val="nil"/>
            </w:tcBorders>
            <w:shd w:val="clear" w:color="auto" w:fill="auto"/>
          </w:tcPr>
          <w:p w14:paraId="697BA2C6" w14:textId="77777777" w:rsidR="00A05C60" w:rsidRDefault="00A05C60" w:rsidP="00FB637F">
            <w:pPr>
              <w:rPr>
                <w:rFonts w:cs="Arial"/>
                <w:b/>
                <w:sz w:val="20"/>
                <w:szCs w:val="20"/>
              </w:rPr>
            </w:pPr>
          </w:p>
        </w:tc>
      </w:tr>
    </w:tbl>
    <w:p w14:paraId="418AE8C8" w14:textId="77777777" w:rsidR="00761CD1" w:rsidRDefault="00761CD1" w:rsidP="005E5E4D">
      <w:pPr>
        <w:pStyle w:val="Address"/>
        <w:rPr>
          <w:rFonts w:cs="Arial"/>
          <w:sz w:val="20"/>
          <w:szCs w:val="20"/>
        </w:rPr>
      </w:pPr>
    </w:p>
    <w:p w14:paraId="091106CB" w14:textId="77777777" w:rsidR="001D0E9B" w:rsidRPr="001D0E9B" w:rsidRDefault="001D0E9B" w:rsidP="005E5E4D">
      <w:pPr>
        <w:pStyle w:val="Address"/>
        <w:rPr>
          <w:rFonts w:cs="Arial"/>
          <w:b/>
          <w:bCs/>
          <w:sz w:val="20"/>
          <w:szCs w:val="20"/>
        </w:rPr>
      </w:pPr>
      <w:r w:rsidRPr="001D0E9B">
        <w:rPr>
          <w:rFonts w:cs="Arial"/>
          <w:b/>
          <w:bCs/>
          <w:sz w:val="20"/>
          <w:szCs w:val="20"/>
        </w:rPr>
        <w:t>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99"/>
        <w:gridCol w:w="1927"/>
        <w:gridCol w:w="2766"/>
        <w:gridCol w:w="2425"/>
        <w:gridCol w:w="1410"/>
      </w:tblGrid>
      <w:tr w:rsidR="00EC7FD2" w:rsidRPr="0015209B" w14:paraId="0048066F" w14:textId="77777777" w:rsidTr="001E5B29">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6D3E4DD2" w14:textId="77777777" w:rsidR="00EC7FD2" w:rsidRPr="0015209B" w:rsidRDefault="00EC7FD2" w:rsidP="001E5B29">
            <w:pPr>
              <w:pStyle w:val="Address"/>
              <w:rPr>
                <w:rFonts w:cs="Arial"/>
                <w:b/>
                <w:bCs/>
                <w:sz w:val="20"/>
                <w:szCs w:val="20"/>
                <w:lang w:eastAsia="zh-CN"/>
              </w:rPr>
            </w:pPr>
            <w:r w:rsidRPr="0015209B">
              <w:rPr>
                <w:rFonts w:cs="Arial"/>
                <w:b/>
                <w:bCs/>
                <w:sz w:val="20"/>
                <w:szCs w:val="20"/>
                <w:lang w:eastAsia="zh-CN"/>
              </w:rPr>
              <w:t>Min No./Year</w:t>
            </w:r>
          </w:p>
        </w:tc>
        <w:tc>
          <w:tcPr>
            <w:tcW w:w="1927" w:type="dxa"/>
            <w:tcBorders>
              <w:top w:val="single" w:sz="4" w:space="0" w:color="auto"/>
              <w:left w:val="single" w:sz="4" w:space="0" w:color="auto"/>
              <w:bottom w:val="single" w:sz="4" w:space="0" w:color="auto"/>
              <w:right w:val="single" w:sz="4" w:space="0" w:color="auto"/>
            </w:tcBorders>
            <w:shd w:val="clear" w:color="auto" w:fill="auto"/>
            <w:hideMark/>
          </w:tcPr>
          <w:p w14:paraId="0A3C5459" w14:textId="77777777" w:rsidR="00EC7FD2" w:rsidRPr="0015209B" w:rsidRDefault="00EC7FD2" w:rsidP="001E5B29">
            <w:pPr>
              <w:pStyle w:val="Address"/>
              <w:rPr>
                <w:rFonts w:cs="Arial"/>
                <w:b/>
                <w:bCs/>
                <w:sz w:val="20"/>
                <w:szCs w:val="20"/>
                <w:lang w:eastAsia="zh-CN"/>
              </w:rPr>
            </w:pPr>
            <w:r w:rsidRPr="0015209B">
              <w:rPr>
                <w:rFonts w:cs="Arial"/>
                <w:b/>
                <w:bCs/>
                <w:sz w:val="20"/>
                <w:szCs w:val="20"/>
                <w:lang w:eastAsia="zh-CN"/>
              </w:rPr>
              <w:t>Minute Title</w:t>
            </w:r>
          </w:p>
        </w:tc>
        <w:tc>
          <w:tcPr>
            <w:tcW w:w="2766" w:type="dxa"/>
            <w:tcBorders>
              <w:top w:val="single" w:sz="4" w:space="0" w:color="auto"/>
              <w:left w:val="single" w:sz="4" w:space="0" w:color="auto"/>
              <w:bottom w:val="single" w:sz="4" w:space="0" w:color="auto"/>
              <w:right w:val="single" w:sz="4" w:space="0" w:color="auto"/>
            </w:tcBorders>
            <w:shd w:val="clear" w:color="auto" w:fill="auto"/>
            <w:hideMark/>
          </w:tcPr>
          <w:p w14:paraId="477C92E7" w14:textId="77777777" w:rsidR="00EC7FD2" w:rsidRPr="0015209B" w:rsidRDefault="00EC7FD2" w:rsidP="001E5B29">
            <w:pPr>
              <w:pStyle w:val="Address"/>
              <w:rPr>
                <w:rFonts w:cs="Arial"/>
                <w:b/>
                <w:bCs/>
                <w:sz w:val="20"/>
                <w:szCs w:val="20"/>
                <w:lang w:eastAsia="zh-CN"/>
              </w:rPr>
            </w:pPr>
            <w:r w:rsidRPr="0015209B">
              <w:rPr>
                <w:rFonts w:cs="Arial"/>
                <w:b/>
                <w:bCs/>
                <w:sz w:val="20"/>
                <w:szCs w:val="20"/>
                <w:lang w:eastAsia="zh-CN"/>
              </w:rPr>
              <w:t>Action Summary</w:t>
            </w:r>
          </w:p>
        </w:tc>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111C8715" w14:textId="77777777" w:rsidR="00EC7FD2" w:rsidRPr="0015209B" w:rsidRDefault="00EC7FD2" w:rsidP="001E5B29">
            <w:pPr>
              <w:pStyle w:val="Address"/>
              <w:rPr>
                <w:rFonts w:cs="Arial"/>
                <w:b/>
                <w:bCs/>
                <w:sz w:val="20"/>
                <w:szCs w:val="20"/>
                <w:lang w:eastAsia="zh-CN"/>
              </w:rPr>
            </w:pPr>
            <w:r w:rsidRPr="0015209B">
              <w:rPr>
                <w:rFonts w:cs="Arial"/>
                <w:b/>
                <w:bCs/>
                <w:sz w:val="20"/>
                <w:szCs w:val="20"/>
                <w:lang w:eastAsia="zh-CN"/>
              </w:rPr>
              <w:t>Owner</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0E76D7F8" w14:textId="77777777" w:rsidR="00EC7FD2" w:rsidRPr="0015209B" w:rsidRDefault="00EC7FD2" w:rsidP="001E5B29">
            <w:pPr>
              <w:pStyle w:val="Address"/>
              <w:rPr>
                <w:rFonts w:cs="Arial"/>
                <w:b/>
                <w:bCs/>
                <w:sz w:val="20"/>
                <w:szCs w:val="20"/>
                <w:lang w:eastAsia="zh-CN"/>
              </w:rPr>
            </w:pPr>
            <w:r w:rsidRPr="0015209B">
              <w:rPr>
                <w:rFonts w:cs="Arial"/>
                <w:b/>
                <w:bCs/>
                <w:sz w:val="20"/>
                <w:szCs w:val="20"/>
                <w:lang w:eastAsia="zh-CN"/>
              </w:rPr>
              <w:t>Report Back Date</w:t>
            </w:r>
            <w:r w:rsidR="001640D3">
              <w:rPr>
                <w:rFonts w:cs="Arial"/>
                <w:b/>
                <w:bCs/>
                <w:sz w:val="20"/>
                <w:szCs w:val="20"/>
                <w:lang w:eastAsia="zh-CN"/>
              </w:rPr>
              <w:t>*</w:t>
            </w:r>
          </w:p>
        </w:tc>
      </w:tr>
      <w:tr w:rsidR="00EC7FD2" w:rsidRPr="0015209B" w14:paraId="0ACD29B7" w14:textId="77777777" w:rsidTr="001E5B29">
        <w:tc>
          <w:tcPr>
            <w:tcW w:w="1099" w:type="dxa"/>
            <w:tcBorders>
              <w:top w:val="single" w:sz="4" w:space="0" w:color="auto"/>
              <w:left w:val="single" w:sz="4" w:space="0" w:color="auto"/>
              <w:bottom w:val="single" w:sz="4" w:space="0" w:color="auto"/>
              <w:right w:val="single" w:sz="4" w:space="0" w:color="auto"/>
            </w:tcBorders>
            <w:shd w:val="clear" w:color="auto" w:fill="auto"/>
          </w:tcPr>
          <w:p w14:paraId="77821D00" w14:textId="77777777" w:rsidR="00EC7FD2" w:rsidRDefault="00EC7FD2" w:rsidP="001E5B29">
            <w:pPr>
              <w:pStyle w:val="Address"/>
              <w:rPr>
                <w:rFonts w:cs="Arial"/>
                <w:sz w:val="20"/>
                <w:szCs w:val="20"/>
                <w:lang w:eastAsia="zh-CN"/>
              </w:rPr>
            </w:pPr>
            <w:r>
              <w:rPr>
                <w:rFonts w:cs="Arial"/>
                <w:sz w:val="20"/>
                <w:szCs w:val="20"/>
                <w:lang w:eastAsia="zh-CN"/>
              </w:rPr>
              <w:t>74/1920</w:t>
            </w:r>
          </w:p>
        </w:tc>
        <w:tc>
          <w:tcPr>
            <w:tcW w:w="1927" w:type="dxa"/>
            <w:tcBorders>
              <w:top w:val="single" w:sz="4" w:space="0" w:color="auto"/>
              <w:left w:val="single" w:sz="4" w:space="0" w:color="auto"/>
              <w:bottom w:val="single" w:sz="4" w:space="0" w:color="auto"/>
              <w:right w:val="single" w:sz="4" w:space="0" w:color="auto"/>
            </w:tcBorders>
            <w:shd w:val="clear" w:color="auto" w:fill="auto"/>
          </w:tcPr>
          <w:p w14:paraId="559F86E1" w14:textId="77777777" w:rsidR="00EC7FD2" w:rsidRDefault="00EC7FD2" w:rsidP="001E5B29">
            <w:pPr>
              <w:pStyle w:val="Address"/>
              <w:rPr>
                <w:rFonts w:cs="Arial"/>
                <w:sz w:val="20"/>
                <w:szCs w:val="20"/>
                <w:lang w:eastAsia="zh-CN"/>
              </w:rPr>
            </w:pPr>
            <w:r>
              <w:rPr>
                <w:rFonts w:cs="Arial"/>
                <w:sz w:val="20"/>
                <w:szCs w:val="20"/>
                <w:lang w:eastAsia="zh-CN"/>
              </w:rPr>
              <w:t>Sustainability Discussion</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64064592" w14:textId="77777777" w:rsidR="00EC7FD2" w:rsidRDefault="00EC7FD2" w:rsidP="001E5B29">
            <w:pPr>
              <w:pStyle w:val="Address"/>
              <w:rPr>
                <w:rFonts w:cs="Arial"/>
                <w:sz w:val="20"/>
                <w:szCs w:val="20"/>
                <w:lang w:eastAsia="zh-CN"/>
              </w:rPr>
            </w:pPr>
            <w:r>
              <w:rPr>
                <w:rFonts w:cs="Arial"/>
                <w:sz w:val="20"/>
                <w:szCs w:val="20"/>
                <w:lang w:eastAsia="zh-CN"/>
              </w:rPr>
              <w:t>Update in 12 months</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FA7D817" w14:textId="77777777" w:rsidR="00EC7FD2" w:rsidRDefault="00EC7FD2" w:rsidP="001E5B29">
            <w:pPr>
              <w:pStyle w:val="Address"/>
              <w:rPr>
                <w:rFonts w:cs="Arial"/>
                <w:sz w:val="20"/>
                <w:szCs w:val="20"/>
                <w:lang w:eastAsia="zh-CN"/>
              </w:rPr>
            </w:pPr>
            <w:r>
              <w:rPr>
                <w:rFonts w:cs="Arial"/>
                <w:sz w:val="20"/>
                <w:szCs w:val="20"/>
                <w:lang w:eastAsia="zh-CN"/>
              </w:rPr>
              <w:t>Dean of FELS</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19D354" w14:textId="77777777" w:rsidR="00EC7FD2" w:rsidRDefault="00EC7FD2" w:rsidP="001E5B29">
            <w:pPr>
              <w:pStyle w:val="Address"/>
              <w:rPr>
                <w:rFonts w:cs="Arial"/>
                <w:sz w:val="20"/>
                <w:szCs w:val="20"/>
                <w:lang w:eastAsia="zh-CN"/>
              </w:rPr>
            </w:pPr>
            <w:r>
              <w:rPr>
                <w:rFonts w:cs="Arial"/>
                <w:sz w:val="20"/>
                <w:szCs w:val="20"/>
                <w:lang w:eastAsia="zh-CN"/>
              </w:rPr>
              <w:t>March 2021</w:t>
            </w:r>
          </w:p>
        </w:tc>
      </w:tr>
      <w:tr w:rsidR="00EC7FD2" w:rsidRPr="0015209B" w14:paraId="42D91037" w14:textId="77777777" w:rsidTr="001E5B29">
        <w:tc>
          <w:tcPr>
            <w:tcW w:w="1099" w:type="dxa"/>
            <w:tcBorders>
              <w:top w:val="single" w:sz="4" w:space="0" w:color="auto"/>
              <w:left w:val="single" w:sz="4" w:space="0" w:color="auto"/>
              <w:bottom w:val="single" w:sz="4" w:space="0" w:color="auto"/>
              <w:right w:val="single" w:sz="4" w:space="0" w:color="auto"/>
            </w:tcBorders>
            <w:shd w:val="clear" w:color="auto" w:fill="auto"/>
          </w:tcPr>
          <w:p w14:paraId="7BC6100B" w14:textId="77777777" w:rsidR="00EC7FD2" w:rsidRDefault="00EC7FD2" w:rsidP="001E5B29">
            <w:pPr>
              <w:pStyle w:val="Address"/>
              <w:rPr>
                <w:rFonts w:cs="Arial"/>
                <w:sz w:val="20"/>
                <w:szCs w:val="20"/>
                <w:lang w:eastAsia="zh-CN"/>
              </w:rPr>
            </w:pPr>
            <w:r>
              <w:rPr>
                <w:rFonts w:cs="Arial"/>
                <w:sz w:val="20"/>
                <w:szCs w:val="20"/>
                <w:lang w:eastAsia="zh-CN"/>
              </w:rPr>
              <w:t>79/1920</w:t>
            </w:r>
          </w:p>
        </w:tc>
        <w:tc>
          <w:tcPr>
            <w:tcW w:w="1927" w:type="dxa"/>
            <w:tcBorders>
              <w:top w:val="single" w:sz="4" w:space="0" w:color="auto"/>
              <w:left w:val="single" w:sz="4" w:space="0" w:color="auto"/>
              <w:bottom w:val="single" w:sz="4" w:space="0" w:color="auto"/>
              <w:right w:val="single" w:sz="4" w:space="0" w:color="auto"/>
            </w:tcBorders>
            <w:shd w:val="clear" w:color="auto" w:fill="auto"/>
          </w:tcPr>
          <w:p w14:paraId="78626988" w14:textId="77777777" w:rsidR="00EC7FD2" w:rsidRDefault="00EC7FD2" w:rsidP="001E5B29">
            <w:pPr>
              <w:pStyle w:val="Address"/>
              <w:rPr>
                <w:rFonts w:cs="Arial"/>
                <w:sz w:val="20"/>
                <w:szCs w:val="20"/>
                <w:lang w:eastAsia="zh-CN"/>
              </w:rPr>
            </w:pPr>
            <w:r>
              <w:rPr>
                <w:rFonts w:cs="Arial"/>
                <w:sz w:val="20"/>
                <w:szCs w:val="20"/>
                <w:lang w:eastAsia="zh-CN"/>
              </w:rPr>
              <w:t>Awayday Outcomes</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72778A34" w14:textId="77777777" w:rsidR="00EC7FD2" w:rsidRDefault="00EC7FD2" w:rsidP="001E5B29">
            <w:pPr>
              <w:pStyle w:val="Address"/>
              <w:rPr>
                <w:rFonts w:cs="Arial"/>
                <w:sz w:val="20"/>
                <w:szCs w:val="20"/>
                <w:lang w:eastAsia="zh-CN"/>
              </w:rPr>
            </w:pPr>
            <w:r>
              <w:rPr>
                <w:rFonts w:cs="Arial"/>
                <w:sz w:val="20"/>
                <w:szCs w:val="20"/>
                <w:lang w:eastAsia="zh-CN"/>
              </w:rPr>
              <w:t>Executive to consider developing a dashboard of key info for Council</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EFDDA35" w14:textId="77777777" w:rsidR="00EC7FD2" w:rsidRDefault="00355529" w:rsidP="001E5B29">
            <w:pPr>
              <w:pStyle w:val="Address"/>
              <w:rPr>
                <w:rFonts w:cs="Arial"/>
                <w:sz w:val="20"/>
                <w:szCs w:val="20"/>
                <w:lang w:eastAsia="zh-CN"/>
              </w:rPr>
            </w:pPr>
            <w:r>
              <w:rPr>
                <w:rFonts w:cs="Arial"/>
                <w:sz w:val="20"/>
                <w:szCs w:val="20"/>
                <w:lang w:eastAsia="zh-CN"/>
              </w:rPr>
              <w:t>Chief Operating Officer</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A9240F" w14:textId="77777777" w:rsidR="00EC7FD2" w:rsidRDefault="00EC7FD2" w:rsidP="001E5B29">
            <w:pPr>
              <w:pStyle w:val="Address"/>
              <w:rPr>
                <w:rFonts w:cs="Arial"/>
                <w:sz w:val="20"/>
                <w:szCs w:val="20"/>
                <w:lang w:eastAsia="zh-CN"/>
              </w:rPr>
            </w:pPr>
            <w:r>
              <w:rPr>
                <w:rFonts w:cs="Arial"/>
                <w:sz w:val="20"/>
                <w:szCs w:val="20"/>
                <w:lang w:eastAsia="zh-CN"/>
              </w:rPr>
              <w:t>Ongoing</w:t>
            </w:r>
          </w:p>
        </w:tc>
      </w:tr>
      <w:tr w:rsidR="00126190" w:rsidRPr="0015209B" w14:paraId="6CECDFED" w14:textId="77777777" w:rsidTr="001E5B29">
        <w:tc>
          <w:tcPr>
            <w:tcW w:w="1099" w:type="dxa"/>
            <w:tcBorders>
              <w:top w:val="single" w:sz="4" w:space="0" w:color="auto"/>
              <w:left w:val="single" w:sz="4" w:space="0" w:color="auto"/>
              <w:bottom w:val="single" w:sz="4" w:space="0" w:color="auto"/>
              <w:right w:val="single" w:sz="4" w:space="0" w:color="auto"/>
            </w:tcBorders>
            <w:shd w:val="clear" w:color="auto" w:fill="auto"/>
          </w:tcPr>
          <w:p w14:paraId="15F8A451" w14:textId="77777777" w:rsidR="00126190" w:rsidRDefault="00F46D81" w:rsidP="001E5B29">
            <w:pPr>
              <w:pStyle w:val="Address"/>
              <w:rPr>
                <w:rFonts w:cs="Arial"/>
                <w:sz w:val="20"/>
                <w:szCs w:val="20"/>
                <w:lang w:eastAsia="zh-CN"/>
              </w:rPr>
            </w:pPr>
            <w:r>
              <w:rPr>
                <w:rFonts w:cs="Arial"/>
                <w:sz w:val="20"/>
                <w:szCs w:val="20"/>
                <w:lang w:eastAsia="zh-CN"/>
              </w:rPr>
              <w:t>106/1920</w:t>
            </w:r>
          </w:p>
        </w:tc>
        <w:tc>
          <w:tcPr>
            <w:tcW w:w="1927" w:type="dxa"/>
            <w:tcBorders>
              <w:top w:val="single" w:sz="4" w:space="0" w:color="auto"/>
              <w:left w:val="single" w:sz="4" w:space="0" w:color="auto"/>
              <w:bottom w:val="single" w:sz="4" w:space="0" w:color="auto"/>
              <w:right w:val="single" w:sz="4" w:space="0" w:color="auto"/>
            </w:tcBorders>
            <w:shd w:val="clear" w:color="auto" w:fill="auto"/>
          </w:tcPr>
          <w:p w14:paraId="7EC46667" w14:textId="77777777" w:rsidR="00126190" w:rsidRDefault="00F46D81" w:rsidP="001E5B29">
            <w:pPr>
              <w:pStyle w:val="Address"/>
              <w:rPr>
                <w:rFonts w:cs="Arial"/>
                <w:sz w:val="20"/>
                <w:szCs w:val="20"/>
                <w:lang w:eastAsia="zh-CN"/>
              </w:rPr>
            </w:pPr>
            <w:r>
              <w:rPr>
                <w:rFonts w:cs="Arial"/>
                <w:sz w:val="20"/>
                <w:szCs w:val="20"/>
                <w:lang w:eastAsia="zh-CN"/>
              </w:rPr>
              <w:t>VC Report</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4F997959" w14:textId="77777777" w:rsidR="00126190" w:rsidRDefault="00F46D81" w:rsidP="001E5B29">
            <w:pPr>
              <w:pStyle w:val="Address"/>
              <w:rPr>
                <w:rFonts w:cs="Arial"/>
                <w:sz w:val="20"/>
                <w:szCs w:val="20"/>
                <w:lang w:eastAsia="zh-CN"/>
              </w:rPr>
            </w:pPr>
            <w:r>
              <w:rPr>
                <w:rFonts w:cs="Arial"/>
                <w:sz w:val="20"/>
                <w:szCs w:val="20"/>
                <w:lang w:eastAsia="zh-CN"/>
              </w:rPr>
              <w:t>Report back on outcomes of Graduate Destination Survey</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DD135F4" w14:textId="77777777" w:rsidR="00126190" w:rsidRDefault="00F46D81" w:rsidP="001E5B29">
            <w:pPr>
              <w:pStyle w:val="Address"/>
              <w:rPr>
                <w:rFonts w:cs="Arial"/>
                <w:sz w:val="20"/>
                <w:szCs w:val="20"/>
                <w:lang w:eastAsia="zh-CN"/>
              </w:rPr>
            </w:pPr>
            <w:r>
              <w:rPr>
                <w:rFonts w:cs="Arial"/>
                <w:sz w:val="20"/>
                <w:szCs w:val="20"/>
                <w:lang w:eastAsia="zh-CN"/>
              </w:rPr>
              <w:t>Vice-President (Education</w:t>
            </w:r>
            <w:r w:rsidRPr="0015209B">
              <w:rPr>
                <w:rFonts w:cs="Arial"/>
                <w:sz w:val="20"/>
                <w:szCs w:val="20"/>
                <w:lang w:eastAsia="zh-CN"/>
              </w:rPr>
              <w:t>)</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E0FBDAF" w14:textId="77777777" w:rsidR="00126190" w:rsidRDefault="00F46D81" w:rsidP="001E5B29">
            <w:pPr>
              <w:pStyle w:val="Address"/>
              <w:rPr>
                <w:rFonts w:cs="Arial"/>
                <w:sz w:val="20"/>
                <w:szCs w:val="20"/>
                <w:lang w:eastAsia="zh-CN"/>
              </w:rPr>
            </w:pPr>
            <w:r>
              <w:rPr>
                <w:rFonts w:cs="Arial"/>
                <w:sz w:val="20"/>
                <w:szCs w:val="20"/>
                <w:lang w:eastAsia="zh-CN"/>
              </w:rPr>
              <w:t>?</w:t>
            </w:r>
          </w:p>
        </w:tc>
      </w:tr>
      <w:tr w:rsidR="00F46D81" w:rsidRPr="0015209B" w14:paraId="368C7216" w14:textId="77777777" w:rsidTr="001E5B29">
        <w:tc>
          <w:tcPr>
            <w:tcW w:w="1099" w:type="dxa"/>
            <w:tcBorders>
              <w:top w:val="single" w:sz="4" w:space="0" w:color="auto"/>
              <w:left w:val="single" w:sz="4" w:space="0" w:color="auto"/>
              <w:bottom w:val="single" w:sz="4" w:space="0" w:color="auto"/>
              <w:right w:val="single" w:sz="4" w:space="0" w:color="auto"/>
            </w:tcBorders>
            <w:shd w:val="clear" w:color="auto" w:fill="auto"/>
          </w:tcPr>
          <w:p w14:paraId="565782F4" w14:textId="77777777" w:rsidR="00F46D81" w:rsidRDefault="00F46D81" w:rsidP="001E5B29">
            <w:pPr>
              <w:pStyle w:val="Address"/>
              <w:rPr>
                <w:rFonts w:cs="Arial"/>
                <w:sz w:val="20"/>
                <w:szCs w:val="20"/>
                <w:lang w:eastAsia="zh-CN"/>
              </w:rPr>
            </w:pPr>
            <w:r>
              <w:rPr>
                <w:rFonts w:cs="Arial"/>
                <w:sz w:val="20"/>
                <w:szCs w:val="20"/>
                <w:lang w:eastAsia="zh-CN"/>
              </w:rPr>
              <w:t>107/1920</w:t>
            </w:r>
          </w:p>
        </w:tc>
        <w:tc>
          <w:tcPr>
            <w:tcW w:w="1927" w:type="dxa"/>
            <w:tcBorders>
              <w:top w:val="single" w:sz="4" w:space="0" w:color="auto"/>
              <w:left w:val="single" w:sz="4" w:space="0" w:color="auto"/>
              <w:bottom w:val="single" w:sz="4" w:space="0" w:color="auto"/>
              <w:right w:val="single" w:sz="4" w:space="0" w:color="auto"/>
            </w:tcBorders>
            <w:shd w:val="clear" w:color="auto" w:fill="auto"/>
          </w:tcPr>
          <w:p w14:paraId="7647AE38" w14:textId="77777777" w:rsidR="00F46D81" w:rsidRDefault="00F46D81" w:rsidP="001E5B29">
            <w:pPr>
              <w:pStyle w:val="Address"/>
              <w:rPr>
                <w:rFonts w:cs="Arial"/>
                <w:sz w:val="20"/>
                <w:szCs w:val="20"/>
                <w:lang w:eastAsia="zh-CN"/>
              </w:rPr>
            </w:pPr>
            <w:r>
              <w:rPr>
                <w:rFonts w:cs="Arial"/>
                <w:sz w:val="20"/>
                <w:szCs w:val="20"/>
                <w:lang w:eastAsia="zh-CN"/>
              </w:rPr>
              <w:t>SUSU Report</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36F3838B" w14:textId="77777777" w:rsidR="00F46D81" w:rsidRDefault="00F46D81" w:rsidP="001E5B29">
            <w:pPr>
              <w:pStyle w:val="Address"/>
              <w:rPr>
                <w:rFonts w:cs="Arial"/>
                <w:sz w:val="20"/>
                <w:szCs w:val="20"/>
                <w:lang w:eastAsia="zh-CN"/>
              </w:rPr>
            </w:pPr>
            <w:r w:rsidRPr="00F46D81">
              <w:rPr>
                <w:rFonts w:cs="Arial"/>
                <w:sz w:val="20"/>
                <w:szCs w:val="20"/>
                <w:lang w:eastAsia="zh-CN"/>
              </w:rPr>
              <w:t xml:space="preserve">Investigate the continuation of Online </w:t>
            </w:r>
            <w:r w:rsidRPr="00F46D81">
              <w:rPr>
                <w:rFonts w:cs="Arial"/>
                <w:sz w:val="20"/>
                <w:szCs w:val="20"/>
                <w:lang w:eastAsia="zh-CN"/>
              </w:rPr>
              <w:lastRenderedPageBreak/>
              <w:t>Learning Grants for students in the coming academic year and progress on appointing a Sexual Violence Advisor.</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70A463C" w14:textId="59152963" w:rsidR="00F46D81" w:rsidRDefault="00F46D81" w:rsidP="001E5B29">
            <w:pPr>
              <w:pStyle w:val="Address"/>
              <w:rPr>
                <w:rFonts w:cs="Arial"/>
                <w:sz w:val="20"/>
                <w:szCs w:val="20"/>
                <w:lang w:eastAsia="zh-CN"/>
              </w:rPr>
            </w:pPr>
            <w:r>
              <w:rPr>
                <w:rFonts w:cs="Arial"/>
                <w:sz w:val="20"/>
                <w:szCs w:val="20"/>
                <w:lang w:eastAsia="zh-CN"/>
              </w:rPr>
              <w:lastRenderedPageBreak/>
              <w:t>Vice</w:t>
            </w:r>
            <w:r w:rsidR="00E52ED3">
              <w:rPr>
                <w:rFonts w:cs="Arial"/>
                <w:sz w:val="20"/>
                <w:szCs w:val="20"/>
                <w:lang w:eastAsia="zh-CN"/>
              </w:rPr>
              <w:t>-</w:t>
            </w:r>
            <w:r>
              <w:rPr>
                <w:rFonts w:cs="Arial"/>
                <w:sz w:val="20"/>
                <w:szCs w:val="20"/>
                <w:lang w:eastAsia="zh-CN"/>
              </w:rPr>
              <w:t>Chancellor</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035445D" w14:textId="1BE1AE22" w:rsidR="00F46D81" w:rsidRDefault="00E52ED3" w:rsidP="001E5B29">
            <w:pPr>
              <w:pStyle w:val="Address"/>
              <w:rPr>
                <w:rFonts w:cs="Arial"/>
                <w:sz w:val="20"/>
                <w:szCs w:val="20"/>
                <w:lang w:eastAsia="zh-CN"/>
              </w:rPr>
            </w:pPr>
            <w:r>
              <w:rPr>
                <w:rFonts w:cs="Arial"/>
                <w:sz w:val="20"/>
                <w:szCs w:val="20"/>
                <w:lang w:eastAsia="zh-CN"/>
              </w:rPr>
              <w:t xml:space="preserve">VC </w:t>
            </w:r>
            <w:r w:rsidR="0045345D">
              <w:rPr>
                <w:rFonts w:cs="Arial"/>
                <w:sz w:val="20"/>
                <w:szCs w:val="20"/>
                <w:lang w:eastAsia="zh-CN"/>
              </w:rPr>
              <w:t xml:space="preserve">and Executive </w:t>
            </w:r>
            <w:r>
              <w:rPr>
                <w:rFonts w:cs="Arial"/>
                <w:sz w:val="20"/>
                <w:szCs w:val="20"/>
                <w:lang w:eastAsia="zh-CN"/>
              </w:rPr>
              <w:lastRenderedPageBreak/>
              <w:t>update August 2020</w:t>
            </w:r>
          </w:p>
        </w:tc>
      </w:tr>
      <w:tr w:rsidR="00F46D81" w:rsidRPr="0015209B" w14:paraId="5F41B515" w14:textId="77777777" w:rsidTr="001E5B29">
        <w:tc>
          <w:tcPr>
            <w:tcW w:w="1099" w:type="dxa"/>
            <w:tcBorders>
              <w:top w:val="single" w:sz="4" w:space="0" w:color="auto"/>
              <w:left w:val="single" w:sz="4" w:space="0" w:color="auto"/>
              <w:bottom w:val="single" w:sz="4" w:space="0" w:color="auto"/>
              <w:right w:val="single" w:sz="4" w:space="0" w:color="auto"/>
            </w:tcBorders>
            <w:shd w:val="clear" w:color="auto" w:fill="auto"/>
          </w:tcPr>
          <w:p w14:paraId="450188B7" w14:textId="77777777" w:rsidR="00F46D81" w:rsidRDefault="00F46D81" w:rsidP="001E5B29">
            <w:pPr>
              <w:pStyle w:val="Address"/>
              <w:rPr>
                <w:rFonts w:cs="Arial"/>
                <w:sz w:val="20"/>
                <w:szCs w:val="20"/>
                <w:lang w:eastAsia="zh-CN"/>
              </w:rPr>
            </w:pPr>
            <w:r>
              <w:rPr>
                <w:rFonts w:cs="Arial"/>
                <w:sz w:val="20"/>
                <w:szCs w:val="20"/>
                <w:lang w:eastAsia="zh-CN"/>
              </w:rPr>
              <w:lastRenderedPageBreak/>
              <w:t>108/1920</w:t>
            </w:r>
          </w:p>
        </w:tc>
        <w:tc>
          <w:tcPr>
            <w:tcW w:w="1927" w:type="dxa"/>
            <w:tcBorders>
              <w:top w:val="single" w:sz="4" w:space="0" w:color="auto"/>
              <w:left w:val="single" w:sz="4" w:space="0" w:color="auto"/>
              <w:bottom w:val="single" w:sz="4" w:space="0" w:color="auto"/>
              <w:right w:val="single" w:sz="4" w:space="0" w:color="auto"/>
            </w:tcBorders>
            <w:shd w:val="clear" w:color="auto" w:fill="auto"/>
          </w:tcPr>
          <w:p w14:paraId="66E69C56" w14:textId="77777777" w:rsidR="00F46D81" w:rsidRDefault="00F46D81" w:rsidP="001E5B29">
            <w:pPr>
              <w:pStyle w:val="Address"/>
              <w:rPr>
                <w:rFonts w:cs="Arial"/>
                <w:sz w:val="20"/>
                <w:szCs w:val="20"/>
                <w:lang w:eastAsia="zh-CN"/>
              </w:rPr>
            </w:pPr>
            <w:r>
              <w:rPr>
                <w:rFonts w:cs="Arial"/>
                <w:sz w:val="20"/>
                <w:szCs w:val="20"/>
                <w:lang w:eastAsia="zh-CN"/>
              </w:rPr>
              <w:t>Bridging Strategy</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38087080" w14:textId="3BE208CC" w:rsidR="00F46D81" w:rsidRPr="00F46D81" w:rsidRDefault="00F46D81" w:rsidP="001E5B29">
            <w:pPr>
              <w:pStyle w:val="Address"/>
              <w:rPr>
                <w:rFonts w:cs="Arial"/>
                <w:sz w:val="20"/>
                <w:szCs w:val="20"/>
                <w:lang w:eastAsia="zh-CN"/>
              </w:rPr>
            </w:pPr>
            <w:r>
              <w:rPr>
                <w:rFonts w:cs="Arial"/>
                <w:sz w:val="20"/>
                <w:szCs w:val="20"/>
                <w:lang w:eastAsia="zh-CN"/>
              </w:rPr>
              <w:t xml:space="preserve">Report back on consolidated KPIs </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6D0AF80" w14:textId="77777777" w:rsidR="00F46D81" w:rsidRDefault="00F46D81" w:rsidP="001E5B29">
            <w:pPr>
              <w:pStyle w:val="Address"/>
              <w:rPr>
                <w:rFonts w:cs="Arial"/>
                <w:sz w:val="20"/>
                <w:szCs w:val="20"/>
                <w:lang w:eastAsia="zh-CN"/>
              </w:rPr>
            </w:pPr>
            <w:r>
              <w:rPr>
                <w:rFonts w:cs="Arial"/>
                <w:sz w:val="20"/>
                <w:szCs w:val="20"/>
                <w:lang w:eastAsia="zh-CN"/>
              </w:rPr>
              <w:t>Chief Operating Officer</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EE98289" w14:textId="697847A8" w:rsidR="00F46D81" w:rsidRDefault="00E52ED3" w:rsidP="001E5B29">
            <w:pPr>
              <w:pStyle w:val="Address"/>
              <w:rPr>
                <w:rFonts w:cs="Arial"/>
                <w:sz w:val="20"/>
                <w:szCs w:val="20"/>
                <w:lang w:eastAsia="zh-CN"/>
              </w:rPr>
            </w:pPr>
            <w:r>
              <w:rPr>
                <w:rFonts w:cs="Arial"/>
                <w:sz w:val="20"/>
                <w:szCs w:val="20"/>
                <w:lang w:eastAsia="zh-CN"/>
              </w:rPr>
              <w:t>September 2020</w:t>
            </w:r>
          </w:p>
        </w:tc>
      </w:tr>
    </w:tbl>
    <w:p w14:paraId="76CCD572" w14:textId="77777777" w:rsidR="001D0E9B" w:rsidRDefault="001D0E9B" w:rsidP="005E5E4D">
      <w:pPr>
        <w:pStyle w:val="Address"/>
        <w:rPr>
          <w:rFonts w:cs="Arial"/>
          <w:sz w:val="20"/>
          <w:szCs w:val="20"/>
        </w:rPr>
      </w:pPr>
    </w:p>
    <w:p w14:paraId="2B25690E" w14:textId="77777777" w:rsidR="001640D3" w:rsidRDefault="001640D3" w:rsidP="001640D3">
      <w:pPr>
        <w:pStyle w:val="Address"/>
        <w:rPr>
          <w:rFonts w:cs="Arial"/>
          <w:sz w:val="20"/>
          <w:szCs w:val="20"/>
        </w:rPr>
      </w:pPr>
    </w:p>
    <w:sectPr w:rsidR="001640D3" w:rsidSect="00D47286">
      <w:footerReference w:type="default" r:id="rId11"/>
      <w:headerReference w:type="first" r:id="rId12"/>
      <w:pgSz w:w="11906" w:h="16838" w:code="9"/>
      <w:pgMar w:top="680" w:right="851" w:bottom="993" w:left="1418" w:header="454"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2720" w16cex:dateUtc="2020-08-24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8601" w14:textId="77777777" w:rsidR="0041124F" w:rsidRDefault="0041124F">
      <w:r>
        <w:separator/>
      </w:r>
    </w:p>
    <w:p w14:paraId="2893A763" w14:textId="77777777" w:rsidR="0041124F" w:rsidRDefault="0041124F"/>
  </w:endnote>
  <w:endnote w:type="continuationSeparator" w:id="0">
    <w:p w14:paraId="032913A8" w14:textId="77777777" w:rsidR="0041124F" w:rsidRDefault="0041124F">
      <w:r>
        <w:continuationSeparator/>
      </w:r>
    </w:p>
    <w:p w14:paraId="59E3C02A" w14:textId="77777777" w:rsidR="0041124F" w:rsidRDefault="00411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EF9B" w14:textId="77777777" w:rsidR="001E5B29" w:rsidRDefault="001E5B29" w:rsidP="00ED2E52">
    <w:pPr>
      <w:pStyle w:val="ContinuationFooter"/>
    </w:pPr>
    <w:r>
      <w:fldChar w:fldCharType="begin"/>
    </w:r>
    <w:r>
      <w:instrText xml:space="preserve"> page </w:instrText>
    </w:r>
    <w:r>
      <w:fldChar w:fldCharType="separate"/>
    </w:r>
    <w:r w:rsidR="00E3686D">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CA270" w14:textId="77777777" w:rsidR="0041124F" w:rsidRDefault="0041124F">
      <w:r>
        <w:separator/>
      </w:r>
    </w:p>
    <w:p w14:paraId="47305BA2" w14:textId="77777777" w:rsidR="0041124F" w:rsidRDefault="0041124F"/>
  </w:footnote>
  <w:footnote w:type="continuationSeparator" w:id="0">
    <w:p w14:paraId="77CF67DE" w14:textId="77777777" w:rsidR="0041124F" w:rsidRDefault="0041124F">
      <w:r>
        <w:continuationSeparator/>
      </w:r>
    </w:p>
    <w:p w14:paraId="6AD09938" w14:textId="77777777" w:rsidR="0041124F" w:rsidRDefault="00411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0" w:type="dxa"/>
        <w:right w:w="0" w:type="dxa"/>
      </w:tblCellMar>
      <w:tblLook w:val="00A0" w:firstRow="1" w:lastRow="0" w:firstColumn="1" w:lastColumn="0" w:noHBand="0" w:noVBand="0"/>
    </w:tblPr>
    <w:tblGrid>
      <w:gridCol w:w="9639"/>
    </w:tblGrid>
    <w:tr w:rsidR="001E5B29" w14:paraId="4EA74188" w14:textId="77777777" w:rsidTr="00854B1E">
      <w:trPr>
        <w:trHeight w:hRule="exact" w:val="227"/>
      </w:trPr>
      <w:tc>
        <w:tcPr>
          <w:tcW w:w="9639" w:type="dxa"/>
        </w:tcPr>
        <w:p w14:paraId="48A3CAC8" w14:textId="77777777" w:rsidR="001E5B29" w:rsidRDefault="001E5B29" w:rsidP="0029789A">
          <w:pPr>
            <w:pStyle w:val="Header"/>
          </w:pPr>
        </w:p>
      </w:tc>
    </w:tr>
    <w:tr w:rsidR="001E5B29" w14:paraId="227B8091" w14:textId="77777777" w:rsidTr="00854B1E">
      <w:trPr>
        <w:trHeight w:val="1571"/>
      </w:trPr>
      <w:tc>
        <w:tcPr>
          <w:tcW w:w="9639" w:type="dxa"/>
        </w:tcPr>
        <w:p w14:paraId="0189E74F" w14:textId="77777777" w:rsidR="001E5B29" w:rsidRDefault="001E5B29" w:rsidP="0029789A">
          <w:pPr>
            <w:pStyle w:val="Header"/>
            <w:jc w:val="right"/>
          </w:pPr>
          <w:r>
            <w:rPr>
              <w:noProof/>
            </w:rPr>
            <w:drawing>
              <wp:inline distT="0" distB="0" distL="0" distR="0" wp14:anchorId="7620C18B" wp14:editId="61ADEB67">
                <wp:extent cx="1981200" cy="428625"/>
                <wp:effectExtent l="0" t="0" r="0" b="9525"/>
                <wp:docPr id="3" name="Picture 3"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tc>
    </w:tr>
  </w:tbl>
  <w:p w14:paraId="76FFFD5C" w14:textId="77777777" w:rsidR="001E5B29" w:rsidRPr="006348CA" w:rsidRDefault="001E5B29" w:rsidP="0043196A">
    <w:pPr>
      <w:pStyle w:val="DocTitle"/>
      <w:rPr>
        <w:sz w:val="44"/>
        <w:szCs w:val="44"/>
      </w:rPr>
    </w:pPr>
    <w:r>
      <w:t>Minutes</w:t>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7802C2"/>
    <w:multiLevelType w:val="hybridMultilevel"/>
    <w:tmpl w:val="9102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B17AE"/>
    <w:multiLevelType w:val="hybridMultilevel"/>
    <w:tmpl w:val="35F8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FB7618D"/>
    <w:multiLevelType w:val="hybridMultilevel"/>
    <w:tmpl w:val="6066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E457E"/>
    <w:multiLevelType w:val="hybridMultilevel"/>
    <w:tmpl w:val="5140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86346"/>
    <w:multiLevelType w:val="hybridMultilevel"/>
    <w:tmpl w:val="A11E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E5C63"/>
    <w:multiLevelType w:val="hybridMultilevel"/>
    <w:tmpl w:val="73309982"/>
    <w:lvl w:ilvl="0" w:tplc="3A3A1FB8">
      <w:start w:val="3"/>
      <w:numFmt w:val="bullet"/>
      <w:lvlText w:val="-"/>
      <w:lvlJc w:val="left"/>
      <w:pPr>
        <w:ind w:left="1800" w:hanging="360"/>
      </w:pPr>
      <w:rPr>
        <w:rFonts w:ascii="Lucida Sans" w:eastAsia="Times New Roman" w:hAnsi="Lucida San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4A2489E"/>
    <w:multiLevelType w:val="hybridMultilevel"/>
    <w:tmpl w:val="3BE8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D21A5"/>
    <w:multiLevelType w:val="hybridMultilevel"/>
    <w:tmpl w:val="429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2"/>
  </w:num>
  <w:num w:numId="2">
    <w:abstractNumId w:val="0"/>
  </w:num>
  <w:num w:numId="3">
    <w:abstractNumId w:val="7"/>
  </w:num>
  <w:num w:numId="4">
    <w:abstractNumId w:val="3"/>
  </w:num>
  <w:num w:numId="5">
    <w:abstractNumId w:val="4"/>
  </w:num>
  <w:num w:numId="6">
    <w:abstractNumId w:val="6"/>
  </w:num>
  <w:num w:numId="7">
    <w:abstractNumId w:val="11"/>
  </w:num>
  <w:num w:numId="8">
    <w:abstractNumId w:val="10"/>
  </w:num>
  <w:num w:numId="9">
    <w:abstractNumId w:val="2"/>
  </w:num>
  <w:num w:numId="10">
    <w:abstractNumId w:val="9"/>
  </w:num>
  <w:num w:numId="11">
    <w:abstractNumId w:val="1"/>
  </w:num>
  <w:num w:numId="12">
    <w:abstractNumId w:val="5"/>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0B"/>
    <w:rsid w:val="0000043D"/>
    <w:rsid w:val="00000731"/>
    <w:rsid w:val="00000C0B"/>
    <w:rsid w:val="000033F2"/>
    <w:rsid w:val="0000564F"/>
    <w:rsid w:val="000059E2"/>
    <w:rsid w:val="00007F58"/>
    <w:rsid w:val="00010A2B"/>
    <w:rsid w:val="00012FD8"/>
    <w:rsid w:val="00015087"/>
    <w:rsid w:val="0001565D"/>
    <w:rsid w:val="00015FBF"/>
    <w:rsid w:val="00016131"/>
    <w:rsid w:val="00016282"/>
    <w:rsid w:val="00016750"/>
    <w:rsid w:val="00017191"/>
    <w:rsid w:val="00017474"/>
    <w:rsid w:val="000220C0"/>
    <w:rsid w:val="00022490"/>
    <w:rsid w:val="0002252D"/>
    <w:rsid w:val="0002464C"/>
    <w:rsid w:val="0002538F"/>
    <w:rsid w:val="000262A5"/>
    <w:rsid w:val="00026727"/>
    <w:rsid w:val="000277F7"/>
    <w:rsid w:val="00031F9E"/>
    <w:rsid w:val="00032DBA"/>
    <w:rsid w:val="00032ECD"/>
    <w:rsid w:val="00033775"/>
    <w:rsid w:val="00033990"/>
    <w:rsid w:val="00036C28"/>
    <w:rsid w:val="000370F2"/>
    <w:rsid w:val="0003733B"/>
    <w:rsid w:val="00037AC9"/>
    <w:rsid w:val="00040C94"/>
    <w:rsid w:val="00041323"/>
    <w:rsid w:val="00041976"/>
    <w:rsid w:val="00042F70"/>
    <w:rsid w:val="000431FB"/>
    <w:rsid w:val="0005043E"/>
    <w:rsid w:val="00050BDD"/>
    <w:rsid w:val="000515D4"/>
    <w:rsid w:val="00051FFC"/>
    <w:rsid w:val="000542EC"/>
    <w:rsid w:val="00056F1A"/>
    <w:rsid w:val="000578C4"/>
    <w:rsid w:val="00057B40"/>
    <w:rsid w:val="00060028"/>
    <w:rsid w:val="00061639"/>
    <w:rsid w:val="00063081"/>
    <w:rsid w:val="000635F1"/>
    <w:rsid w:val="000646FE"/>
    <w:rsid w:val="00065AD9"/>
    <w:rsid w:val="00066BA0"/>
    <w:rsid w:val="0006744E"/>
    <w:rsid w:val="00067B2D"/>
    <w:rsid w:val="0007016E"/>
    <w:rsid w:val="00071653"/>
    <w:rsid w:val="00073AF7"/>
    <w:rsid w:val="00075774"/>
    <w:rsid w:val="00075E4E"/>
    <w:rsid w:val="00076112"/>
    <w:rsid w:val="000762EA"/>
    <w:rsid w:val="00077EFC"/>
    <w:rsid w:val="000802A8"/>
    <w:rsid w:val="00080FB6"/>
    <w:rsid w:val="000824F4"/>
    <w:rsid w:val="00085281"/>
    <w:rsid w:val="00085A03"/>
    <w:rsid w:val="00085F50"/>
    <w:rsid w:val="00086500"/>
    <w:rsid w:val="00087333"/>
    <w:rsid w:val="00087408"/>
    <w:rsid w:val="00090218"/>
    <w:rsid w:val="00090B5B"/>
    <w:rsid w:val="00090BF6"/>
    <w:rsid w:val="00091B7A"/>
    <w:rsid w:val="0009239D"/>
    <w:rsid w:val="00092A97"/>
    <w:rsid w:val="00092CBB"/>
    <w:rsid w:val="000930CE"/>
    <w:rsid w:val="000941F2"/>
    <w:rsid w:val="000945DD"/>
    <w:rsid w:val="00094A38"/>
    <w:rsid w:val="00096EC5"/>
    <w:rsid w:val="000978E8"/>
    <w:rsid w:val="000A1ADE"/>
    <w:rsid w:val="000A39BC"/>
    <w:rsid w:val="000A5115"/>
    <w:rsid w:val="000A52B0"/>
    <w:rsid w:val="000A54B1"/>
    <w:rsid w:val="000A5980"/>
    <w:rsid w:val="000A5D46"/>
    <w:rsid w:val="000A5DBB"/>
    <w:rsid w:val="000B0B16"/>
    <w:rsid w:val="000B2139"/>
    <w:rsid w:val="000B3265"/>
    <w:rsid w:val="000B527D"/>
    <w:rsid w:val="000B55F3"/>
    <w:rsid w:val="000B5828"/>
    <w:rsid w:val="000B7276"/>
    <w:rsid w:val="000C080D"/>
    <w:rsid w:val="000C276B"/>
    <w:rsid w:val="000C4CD3"/>
    <w:rsid w:val="000C509D"/>
    <w:rsid w:val="000C6BE2"/>
    <w:rsid w:val="000D0007"/>
    <w:rsid w:val="000D140C"/>
    <w:rsid w:val="000D19BA"/>
    <w:rsid w:val="000D2376"/>
    <w:rsid w:val="000D26CD"/>
    <w:rsid w:val="000D2835"/>
    <w:rsid w:val="000D2BD9"/>
    <w:rsid w:val="000D2C4B"/>
    <w:rsid w:val="000D3A20"/>
    <w:rsid w:val="000D6CFD"/>
    <w:rsid w:val="000D7CD6"/>
    <w:rsid w:val="000E0026"/>
    <w:rsid w:val="000E067E"/>
    <w:rsid w:val="000E24DF"/>
    <w:rsid w:val="000E2EE0"/>
    <w:rsid w:val="000E3928"/>
    <w:rsid w:val="000E3A62"/>
    <w:rsid w:val="000E49B4"/>
    <w:rsid w:val="000F34CD"/>
    <w:rsid w:val="000F3980"/>
    <w:rsid w:val="000F5483"/>
    <w:rsid w:val="000F5BAA"/>
    <w:rsid w:val="000F5F50"/>
    <w:rsid w:val="000F6BCF"/>
    <w:rsid w:val="000F6D2F"/>
    <w:rsid w:val="000F771F"/>
    <w:rsid w:val="000F7F9E"/>
    <w:rsid w:val="001011EC"/>
    <w:rsid w:val="001015D8"/>
    <w:rsid w:val="00101EF3"/>
    <w:rsid w:val="00104AE8"/>
    <w:rsid w:val="00106340"/>
    <w:rsid w:val="00106698"/>
    <w:rsid w:val="00106A78"/>
    <w:rsid w:val="001110F5"/>
    <w:rsid w:val="00111791"/>
    <w:rsid w:val="001129EA"/>
    <w:rsid w:val="00120999"/>
    <w:rsid w:val="00120FBD"/>
    <w:rsid w:val="00121056"/>
    <w:rsid w:val="0012176A"/>
    <w:rsid w:val="00122100"/>
    <w:rsid w:val="00122908"/>
    <w:rsid w:val="00123A55"/>
    <w:rsid w:val="001244BC"/>
    <w:rsid w:val="00124E0F"/>
    <w:rsid w:val="00125215"/>
    <w:rsid w:val="00125C8E"/>
    <w:rsid w:val="00126190"/>
    <w:rsid w:val="001272C1"/>
    <w:rsid w:val="0013005F"/>
    <w:rsid w:val="001300CF"/>
    <w:rsid w:val="00131404"/>
    <w:rsid w:val="00132250"/>
    <w:rsid w:val="00132A9E"/>
    <w:rsid w:val="00132BF7"/>
    <w:rsid w:val="00133B73"/>
    <w:rsid w:val="00133CB6"/>
    <w:rsid w:val="001349A7"/>
    <w:rsid w:val="00134BE4"/>
    <w:rsid w:val="00135DD3"/>
    <w:rsid w:val="001364A7"/>
    <w:rsid w:val="0013682D"/>
    <w:rsid w:val="00136E29"/>
    <w:rsid w:val="001370CC"/>
    <w:rsid w:val="00140BD7"/>
    <w:rsid w:val="00140FCD"/>
    <w:rsid w:val="00141AAA"/>
    <w:rsid w:val="001435A0"/>
    <w:rsid w:val="001460BE"/>
    <w:rsid w:val="0014687B"/>
    <w:rsid w:val="00147309"/>
    <w:rsid w:val="001473F6"/>
    <w:rsid w:val="001502E5"/>
    <w:rsid w:val="001520C8"/>
    <w:rsid w:val="001525C0"/>
    <w:rsid w:val="00155086"/>
    <w:rsid w:val="001552E1"/>
    <w:rsid w:val="00160F3C"/>
    <w:rsid w:val="00163694"/>
    <w:rsid w:val="001640D3"/>
    <w:rsid w:val="00166069"/>
    <w:rsid w:val="00171D50"/>
    <w:rsid w:val="001723B1"/>
    <w:rsid w:val="001728F3"/>
    <w:rsid w:val="0017396F"/>
    <w:rsid w:val="00173BDB"/>
    <w:rsid w:val="00174C66"/>
    <w:rsid w:val="00176468"/>
    <w:rsid w:val="00176BDC"/>
    <w:rsid w:val="00176E30"/>
    <w:rsid w:val="00176F58"/>
    <w:rsid w:val="0018041B"/>
    <w:rsid w:val="001804FE"/>
    <w:rsid w:val="00180767"/>
    <w:rsid w:val="0018144C"/>
    <w:rsid w:val="0018203E"/>
    <w:rsid w:val="0018324D"/>
    <w:rsid w:val="00183B8F"/>
    <w:rsid w:val="001840EA"/>
    <w:rsid w:val="00185F47"/>
    <w:rsid w:val="001860B6"/>
    <w:rsid w:val="00186921"/>
    <w:rsid w:val="00187691"/>
    <w:rsid w:val="00190619"/>
    <w:rsid w:val="001911EF"/>
    <w:rsid w:val="001920D4"/>
    <w:rsid w:val="00192123"/>
    <w:rsid w:val="001925B3"/>
    <w:rsid w:val="00193581"/>
    <w:rsid w:val="00193FB6"/>
    <w:rsid w:val="00195362"/>
    <w:rsid w:val="001954C0"/>
    <w:rsid w:val="001961A1"/>
    <w:rsid w:val="001A08CD"/>
    <w:rsid w:val="001A0E4E"/>
    <w:rsid w:val="001A4C52"/>
    <w:rsid w:val="001A50FF"/>
    <w:rsid w:val="001B08AB"/>
    <w:rsid w:val="001B0D4A"/>
    <w:rsid w:val="001B5105"/>
    <w:rsid w:val="001B5963"/>
    <w:rsid w:val="001B74BE"/>
    <w:rsid w:val="001B795E"/>
    <w:rsid w:val="001C043B"/>
    <w:rsid w:val="001C0F9B"/>
    <w:rsid w:val="001C31DE"/>
    <w:rsid w:val="001C3257"/>
    <w:rsid w:val="001C3E3A"/>
    <w:rsid w:val="001C4CB1"/>
    <w:rsid w:val="001C4FF4"/>
    <w:rsid w:val="001C552D"/>
    <w:rsid w:val="001C5C5C"/>
    <w:rsid w:val="001C5F98"/>
    <w:rsid w:val="001C63B1"/>
    <w:rsid w:val="001C6553"/>
    <w:rsid w:val="001C72F8"/>
    <w:rsid w:val="001D0464"/>
    <w:rsid w:val="001D0B37"/>
    <w:rsid w:val="001D0B97"/>
    <w:rsid w:val="001D0E9B"/>
    <w:rsid w:val="001D251D"/>
    <w:rsid w:val="001D2F0A"/>
    <w:rsid w:val="001D3414"/>
    <w:rsid w:val="001D5201"/>
    <w:rsid w:val="001D7167"/>
    <w:rsid w:val="001E026C"/>
    <w:rsid w:val="001E2689"/>
    <w:rsid w:val="001E2F9B"/>
    <w:rsid w:val="001E3414"/>
    <w:rsid w:val="001E46E9"/>
    <w:rsid w:val="001E5311"/>
    <w:rsid w:val="001E5789"/>
    <w:rsid w:val="001E5B29"/>
    <w:rsid w:val="001E7A8E"/>
    <w:rsid w:val="001F04AE"/>
    <w:rsid w:val="001F0B45"/>
    <w:rsid w:val="001F236F"/>
    <w:rsid w:val="001F2796"/>
    <w:rsid w:val="001F289C"/>
    <w:rsid w:val="001F62E0"/>
    <w:rsid w:val="001F74CD"/>
    <w:rsid w:val="00200469"/>
    <w:rsid w:val="002026AD"/>
    <w:rsid w:val="00203529"/>
    <w:rsid w:val="00205712"/>
    <w:rsid w:val="002062AB"/>
    <w:rsid w:val="002062F5"/>
    <w:rsid w:val="002064B6"/>
    <w:rsid w:val="00206D78"/>
    <w:rsid w:val="00206E7E"/>
    <w:rsid w:val="002070F4"/>
    <w:rsid w:val="00211458"/>
    <w:rsid w:val="00211D91"/>
    <w:rsid w:val="00212C8D"/>
    <w:rsid w:val="002173FB"/>
    <w:rsid w:val="002210AF"/>
    <w:rsid w:val="00221E1D"/>
    <w:rsid w:val="00221F95"/>
    <w:rsid w:val="002220EF"/>
    <w:rsid w:val="00223355"/>
    <w:rsid w:val="002236F7"/>
    <w:rsid w:val="00224921"/>
    <w:rsid w:val="002260CE"/>
    <w:rsid w:val="00231D4C"/>
    <w:rsid w:val="00233D97"/>
    <w:rsid w:val="00234883"/>
    <w:rsid w:val="0023630D"/>
    <w:rsid w:val="002363F5"/>
    <w:rsid w:val="00236BFE"/>
    <w:rsid w:val="00240133"/>
    <w:rsid w:val="002405CA"/>
    <w:rsid w:val="0024104C"/>
    <w:rsid w:val="00241441"/>
    <w:rsid w:val="00243E07"/>
    <w:rsid w:val="0024415E"/>
    <w:rsid w:val="00244F56"/>
    <w:rsid w:val="0024539C"/>
    <w:rsid w:val="00247926"/>
    <w:rsid w:val="00247D22"/>
    <w:rsid w:val="00250590"/>
    <w:rsid w:val="002513D9"/>
    <w:rsid w:val="0025217B"/>
    <w:rsid w:val="0025263C"/>
    <w:rsid w:val="00254537"/>
    <w:rsid w:val="00254722"/>
    <w:rsid w:val="002547F5"/>
    <w:rsid w:val="002573A2"/>
    <w:rsid w:val="00257794"/>
    <w:rsid w:val="00257E16"/>
    <w:rsid w:val="00260333"/>
    <w:rsid w:val="00260B1D"/>
    <w:rsid w:val="002623EB"/>
    <w:rsid w:val="00262C0E"/>
    <w:rsid w:val="00262EE2"/>
    <w:rsid w:val="002633B3"/>
    <w:rsid w:val="002633DD"/>
    <w:rsid w:val="00263550"/>
    <w:rsid w:val="00263C82"/>
    <w:rsid w:val="00265B24"/>
    <w:rsid w:val="0026753E"/>
    <w:rsid w:val="00270002"/>
    <w:rsid w:val="00270C72"/>
    <w:rsid w:val="00271061"/>
    <w:rsid w:val="0027225C"/>
    <w:rsid w:val="00272B0F"/>
    <w:rsid w:val="002730EF"/>
    <w:rsid w:val="00273E93"/>
    <w:rsid w:val="002743A4"/>
    <w:rsid w:val="002758D8"/>
    <w:rsid w:val="00275BE2"/>
    <w:rsid w:val="00275FAC"/>
    <w:rsid w:val="002809DA"/>
    <w:rsid w:val="00280E51"/>
    <w:rsid w:val="0028107D"/>
    <w:rsid w:val="00282DB6"/>
    <w:rsid w:val="00282F2C"/>
    <w:rsid w:val="00283641"/>
    <w:rsid w:val="00285166"/>
    <w:rsid w:val="0028528C"/>
    <w:rsid w:val="002857BD"/>
    <w:rsid w:val="002870CE"/>
    <w:rsid w:val="002902A7"/>
    <w:rsid w:val="002922F8"/>
    <w:rsid w:val="00293427"/>
    <w:rsid w:val="00295EFD"/>
    <w:rsid w:val="0029789A"/>
    <w:rsid w:val="002A0364"/>
    <w:rsid w:val="002A323F"/>
    <w:rsid w:val="002A3810"/>
    <w:rsid w:val="002A586B"/>
    <w:rsid w:val="002A5B1E"/>
    <w:rsid w:val="002A70BE"/>
    <w:rsid w:val="002A7415"/>
    <w:rsid w:val="002A777C"/>
    <w:rsid w:val="002B174C"/>
    <w:rsid w:val="002B1D39"/>
    <w:rsid w:val="002B267B"/>
    <w:rsid w:val="002B5940"/>
    <w:rsid w:val="002B5DA9"/>
    <w:rsid w:val="002B6913"/>
    <w:rsid w:val="002B786A"/>
    <w:rsid w:val="002C023C"/>
    <w:rsid w:val="002C0E52"/>
    <w:rsid w:val="002C0F01"/>
    <w:rsid w:val="002C1867"/>
    <w:rsid w:val="002C2122"/>
    <w:rsid w:val="002C2F32"/>
    <w:rsid w:val="002C4860"/>
    <w:rsid w:val="002C532E"/>
    <w:rsid w:val="002C6198"/>
    <w:rsid w:val="002D2EA2"/>
    <w:rsid w:val="002D359E"/>
    <w:rsid w:val="002D4DF4"/>
    <w:rsid w:val="002E262D"/>
    <w:rsid w:val="002E2B5F"/>
    <w:rsid w:val="002E32BC"/>
    <w:rsid w:val="002E3504"/>
    <w:rsid w:val="002E4650"/>
    <w:rsid w:val="002E7FD2"/>
    <w:rsid w:val="002F2B64"/>
    <w:rsid w:val="002F326F"/>
    <w:rsid w:val="002F660D"/>
    <w:rsid w:val="002F7042"/>
    <w:rsid w:val="0030051A"/>
    <w:rsid w:val="00301447"/>
    <w:rsid w:val="00301C60"/>
    <w:rsid w:val="00302903"/>
    <w:rsid w:val="00302B02"/>
    <w:rsid w:val="00304343"/>
    <w:rsid w:val="00306189"/>
    <w:rsid w:val="00312345"/>
    <w:rsid w:val="00312E0B"/>
    <w:rsid w:val="00313C3A"/>
    <w:rsid w:val="00313CC8"/>
    <w:rsid w:val="00314633"/>
    <w:rsid w:val="0031504A"/>
    <w:rsid w:val="003164A9"/>
    <w:rsid w:val="0031665E"/>
    <w:rsid w:val="003178D9"/>
    <w:rsid w:val="0032210E"/>
    <w:rsid w:val="003243BA"/>
    <w:rsid w:val="003254C5"/>
    <w:rsid w:val="003254F6"/>
    <w:rsid w:val="00332523"/>
    <w:rsid w:val="00332E2B"/>
    <w:rsid w:val="00333168"/>
    <w:rsid w:val="003342B8"/>
    <w:rsid w:val="003345E1"/>
    <w:rsid w:val="003360A2"/>
    <w:rsid w:val="003368E2"/>
    <w:rsid w:val="00337BDB"/>
    <w:rsid w:val="0034151E"/>
    <w:rsid w:val="003426CB"/>
    <w:rsid w:val="0034343E"/>
    <w:rsid w:val="00343CE3"/>
    <w:rsid w:val="003445F9"/>
    <w:rsid w:val="00345B92"/>
    <w:rsid w:val="00346311"/>
    <w:rsid w:val="00346E8B"/>
    <w:rsid w:val="0034717D"/>
    <w:rsid w:val="003473A8"/>
    <w:rsid w:val="00347E4D"/>
    <w:rsid w:val="00347E63"/>
    <w:rsid w:val="0035066D"/>
    <w:rsid w:val="003515F7"/>
    <w:rsid w:val="00352249"/>
    <w:rsid w:val="00354DB1"/>
    <w:rsid w:val="00354F18"/>
    <w:rsid w:val="00355529"/>
    <w:rsid w:val="003620D4"/>
    <w:rsid w:val="003635F8"/>
    <w:rsid w:val="003636B9"/>
    <w:rsid w:val="00364376"/>
    <w:rsid w:val="00364B2C"/>
    <w:rsid w:val="00367D94"/>
    <w:rsid w:val="003701F7"/>
    <w:rsid w:val="0037048F"/>
    <w:rsid w:val="00370CED"/>
    <w:rsid w:val="003742CA"/>
    <w:rsid w:val="003743FD"/>
    <w:rsid w:val="00376226"/>
    <w:rsid w:val="003771DD"/>
    <w:rsid w:val="003777F9"/>
    <w:rsid w:val="0038081B"/>
    <w:rsid w:val="003815FB"/>
    <w:rsid w:val="00381FC3"/>
    <w:rsid w:val="003831B1"/>
    <w:rsid w:val="00385D94"/>
    <w:rsid w:val="00385E20"/>
    <w:rsid w:val="00386359"/>
    <w:rsid w:val="0038643F"/>
    <w:rsid w:val="003872E3"/>
    <w:rsid w:val="00390884"/>
    <w:rsid w:val="00390C3B"/>
    <w:rsid w:val="00391066"/>
    <w:rsid w:val="00391A16"/>
    <w:rsid w:val="00391FED"/>
    <w:rsid w:val="00393C43"/>
    <w:rsid w:val="00395227"/>
    <w:rsid w:val="003960B8"/>
    <w:rsid w:val="00396804"/>
    <w:rsid w:val="00396A0F"/>
    <w:rsid w:val="003A1B3D"/>
    <w:rsid w:val="003A4056"/>
    <w:rsid w:val="003A5E73"/>
    <w:rsid w:val="003A5FFA"/>
    <w:rsid w:val="003A6021"/>
    <w:rsid w:val="003A7954"/>
    <w:rsid w:val="003A7CD0"/>
    <w:rsid w:val="003B0205"/>
    <w:rsid w:val="003B0262"/>
    <w:rsid w:val="003B0A6E"/>
    <w:rsid w:val="003B16DA"/>
    <w:rsid w:val="003B569B"/>
    <w:rsid w:val="003B6732"/>
    <w:rsid w:val="003B677B"/>
    <w:rsid w:val="003B769C"/>
    <w:rsid w:val="003C009D"/>
    <w:rsid w:val="003C06A1"/>
    <w:rsid w:val="003C21E0"/>
    <w:rsid w:val="003C490D"/>
    <w:rsid w:val="003C6143"/>
    <w:rsid w:val="003C63D9"/>
    <w:rsid w:val="003C7A3A"/>
    <w:rsid w:val="003D40FB"/>
    <w:rsid w:val="003D588B"/>
    <w:rsid w:val="003D5D4D"/>
    <w:rsid w:val="003D5FB0"/>
    <w:rsid w:val="003D69AC"/>
    <w:rsid w:val="003D6A63"/>
    <w:rsid w:val="003D7A01"/>
    <w:rsid w:val="003E1BF8"/>
    <w:rsid w:val="003E2A86"/>
    <w:rsid w:val="003E4098"/>
    <w:rsid w:val="003E4BF6"/>
    <w:rsid w:val="003E648A"/>
    <w:rsid w:val="003E66A1"/>
    <w:rsid w:val="003F02F7"/>
    <w:rsid w:val="003F2AB8"/>
    <w:rsid w:val="003F38A2"/>
    <w:rsid w:val="003F6967"/>
    <w:rsid w:val="00400D5A"/>
    <w:rsid w:val="0040235F"/>
    <w:rsid w:val="00402C37"/>
    <w:rsid w:val="004034FB"/>
    <w:rsid w:val="00403EC7"/>
    <w:rsid w:val="004040FB"/>
    <w:rsid w:val="0040617D"/>
    <w:rsid w:val="00407A93"/>
    <w:rsid w:val="004104BE"/>
    <w:rsid w:val="0041124F"/>
    <w:rsid w:val="00411C03"/>
    <w:rsid w:val="00412663"/>
    <w:rsid w:val="00412EFE"/>
    <w:rsid w:val="00414C10"/>
    <w:rsid w:val="00414CE6"/>
    <w:rsid w:val="00414FBF"/>
    <w:rsid w:val="00415948"/>
    <w:rsid w:val="00415A39"/>
    <w:rsid w:val="00416FDE"/>
    <w:rsid w:val="00417923"/>
    <w:rsid w:val="00422CC9"/>
    <w:rsid w:val="00423B4D"/>
    <w:rsid w:val="00424257"/>
    <w:rsid w:val="00424A7E"/>
    <w:rsid w:val="0042534C"/>
    <w:rsid w:val="00425707"/>
    <w:rsid w:val="00426D6A"/>
    <w:rsid w:val="00427719"/>
    <w:rsid w:val="0043196A"/>
    <w:rsid w:val="00433472"/>
    <w:rsid w:val="00433717"/>
    <w:rsid w:val="00434D65"/>
    <w:rsid w:val="00436F32"/>
    <w:rsid w:val="00437B59"/>
    <w:rsid w:val="00440970"/>
    <w:rsid w:val="004426ED"/>
    <w:rsid w:val="004427A9"/>
    <w:rsid w:val="00443209"/>
    <w:rsid w:val="00443A67"/>
    <w:rsid w:val="004442C4"/>
    <w:rsid w:val="00444DED"/>
    <w:rsid w:val="00445A46"/>
    <w:rsid w:val="00445ABA"/>
    <w:rsid w:val="00446C38"/>
    <w:rsid w:val="004512D5"/>
    <w:rsid w:val="00451E66"/>
    <w:rsid w:val="0045345D"/>
    <w:rsid w:val="00454F6D"/>
    <w:rsid w:val="00455CE7"/>
    <w:rsid w:val="00455F1A"/>
    <w:rsid w:val="00456ABA"/>
    <w:rsid w:val="00461EBA"/>
    <w:rsid w:val="004620AD"/>
    <w:rsid w:val="00462459"/>
    <w:rsid w:val="00462A06"/>
    <w:rsid w:val="00462AF2"/>
    <w:rsid w:val="00462BA7"/>
    <w:rsid w:val="00463797"/>
    <w:rsid w:val="0046414C"/>
    <w:rsid w:val="00464789"/>
    <w:rsid w:val="00464F11"/>
    <w:rsid w:val="0046765C"/>
    <w:rsid w:val="00467EE8"/>
    <w:rsid w:val="004708D4"/>
    <w:rsid w:val="004713BD"/>
    <w:rsid w:val="004723E9"/>
    <w:rsid w:val="00472B82"/>
    <w:rsid w:val="00474D00"/>
    <w:rsid w:val="00475817"/>
    <w:rsid w:val="004768EE"/>
    <w:rsid w:val="00476BCE"/>
    <w:rsid w:val="004770DA"/>
    <w:rsid w:val="00477FAD"/>
    <w:rsid w:val="004802FA"/>
    <w:rsid w:val="00480960"/>
    <w:rsid w:val="00480C55"/>
    <w:rsid w:val="004825DC"/>
    <w:rsid w:val="00483567"/>
    <w:rsid w:val="00483A44"/>
    <w:rsid w:val="004863FE"/>
    <w:rsid w:val="00490299"/>
    <w:rsid w:val="004907D8"/>
    <w:rsid w:val="00493CFA"/>
    <w:rsid w:val="00494DD0"/>
    <w:rsid w:val="00495D71"/>
    <w:rsid w:val="004974B8"/>
    <w:rsid w:val="004A0324"/>
    <w:rsid w:val="004A1E2F"/>
    <w:rsid w:val="004A1ECD"/>
    <w:rsid w:val="004A228A"/>
    <w:rsid w:val="004A3E78"/>
    <w:rsid w:val="004A4AA0"/>
    <w:rsid w:val="004A5AC6"/>
    <w:rsid w:val="004B0002"/>
    <w:rsid w:val="004B0F43"/>
    <w:rsid w:val="004B1910"/>
    <w:rsid w:val="004B1C13"/>
    <w:rsid w:val="004B28D2"/>
    <w:rsid w:val="004B2A50"/>
    <w:rsid w:val="004B2E48"/>
    <w:rsid w:val="004B2E8F"/>
    <w:rsid w:val="004B4A5F"/>
    <w:rsid w:val="004B5A65"/>
    <w:rsid w:val="004B79EE"/>
    <w:rsid w:val="004C2B09"/>
    <w:rsid w:val="004C5033"/>
    <w:rsid w:val="004C59B1"/>
    <w:rsid w:val="004C6BC1"/>
    <w:rsid w:val="004C6CF3"/>
    <w:rsid w:val="004C7246"/>
    <w:rsid w:val="004C7480"/>
    <w:rsid w:val="004D12A9"/>
    <w:rsid w:val="004D345B"/>
    <w:rsid w:val="004D3497"/>
    <w:rsid w:val="004D3741"/>
    <w:rsid w:val="004D518F"/>
    <w:rsid w:val="004D5455"/>
    <w:rsid w:val="004D5573"/>
    <w:rsid w:val="004D65DA"/>
    <w:rsid w:val="004E25E4"/>
    <w:rsid w:val="004E6419"/>
    <w:rsid w:val="004E7C5F"/>
    <w:rsid w:val="004F04B3"/>
    <w:rsid w:val="004F1B3F"/>
    <w:rsid w:val="004F1E7D"/>
    <w:rsid w:val="00500022"/>
    <w:rsid w:val="00502A18"/>
    <w:rsid w:val="00504D37"/>
    <w:rsid w:val="00505519"/>
    <w:rsid w:val="00507948"/>
    <w:rsid w:val="005102DA"/>
    <w:rsid w:val="005104D0"/>
    <w:rsid w:val="00510E08"/>
    <w:rsid w:val="0051185B"/>
    <w:rsid w:val="00512036"/>
    <w:rsid w:val="00512774"/>
    <w:rsid w:val="00512A97"/>
    <w:rsid w:val="0051320E"/>
    <w:rsid w:val="00514D4F"/>
    <w:rsid w:val="00515AB9"/>
    <w:rsid w:val="00515B6E"/>
    <w:rsid w:val="00515F90"/>
    <w:rsid w:val="0051693A"/>
    <w:rsid w:val="0051744C"/>
    <w:rsid w:val="00522415"/>
    <w:rsid w:val="005225BA"/>
    <w:rsid w:val="00524005"/>
    <w:rsid w:val="005248E4"/>
    <w:rsid w:val="00525B45"/>
    <w:rsid w:val="00526125"/>
    <w:rsid w:val="0052656F"/>
    <w:rsid w:val="00531A18"/>
    <w:rsid w:val="00533462"/>
    <w:rsid w:val="005343D3"/>
    <w:rsid w:val="00536B24"/>
    <w:rsid w:val="00541CE0"/>
    <w:rsid w:val="0054239A"/>
    <w:rsid w:val="0054303D"/>
    <w:rsid w:val="00543E90"/>
    <w:rsid w:val="00544519"/>
    <w:rsid w:val="0054451E"/>
    <w:rsid w:val="00544C59"/>
    <w:rsid w:val="00546655"/>
    <w:rsid w:val="005476A0"/>
    <w:rsid w:val="00547935"/>
    <w:rsid w:val="00547EE5"/>
    <w:rsid w:val="00550087"/>
    <w:rsid w:val="005534E1"/>
    <w:rsid w:val="0055580D"/>
    <w:rsid w:val="00556274"/>
    <w:rsid w:val="00556C9D"/>
    <w:rsid w:val="0055762C"/>
    <w:rsid w:val="0056157A"/>
    <w:rsid w:val="0056352E"/>
    <w:rsid w:val="00564521"/>
    <w:rsid w:val="005661EE"/>
    <w:rsid w:val="00567730"/>
    <w:rsid w:val="00573487"/>
    <w:rsid w:val="005734DD"/>
    <w:rsid w:val="0057518F"/>
    <w:rsid w:val="00576B08"/>
    <w:rsid w:val="00576CA2"/>
    <w:rsid w:val="0058007A"/>
    <w:rsid w:val="0058119F"/>
    <w:rsid w:val="00583B2F"/>
    <w:rsid w:val="00583C8F"/>
    <w:rsid w:val="00583E5C"/>
    <w:rsid w:val="00584CF0"/>
    <w:rsid w:val="005872E0"/>
    <w:rsid w:val="00587DF5"/>
    <w:rsid w:val="00592914"/>
    <w:rsid w:val="00593C67"/>
    <w:rsid w:val="00593EF4"/>
    <w:rsid w:val="005949FA"/>
    <w:rsid w:val="00594D89"/>
    <w:rsid w:val="00595EF0"/>
    <w:rsid w:val="00596DD0"/>
    <w:rsid w:val="005974FC"/>
    <w:rsid w:val="0059760D"/>
    <w:rsid w:val="005A11DB"/>
    <w:rsid w:val="005A289D"/>
    <w:rsid w:val="005A2FFE"/>
    <w:rsid w:val="005A42C2"/>
    <w:rsid w:val="005A5EF0"/>
    <w:rsid w:val="005A6336"/>
    <w:rsid w:val="005A6FCB"/>
    <w:rsid w:val="005B02F6"/>
    <w:rsid w:val="005B18B3"/>
    <w:rsid w:val="005B3407"/>
    <w:rsid w:val="005B6252"/>
    <w:rsid w:val="005B6B6D"/>
    <w:rsid w:val="005B7E06"/>
    <w:rsid w:val="005C0463"/>
    <w:rsid w:val="005C08BD"/>
    <w:rsid w:val="005C2E3B"/>
    <w:rsid w:val="005C49CB"/>
    <w:rsid w:val="005C71C7"/>
    <w:rsid w:val="005C7B2B"/>
    <w:rsid w:val="005C7E8E"/>
    <w:rsid w:val="005D02B2"/>
    <w:rsid w:val="005D10E2"/>
    <w:rsid w:val="005D1280"/>
    <w:rsid w:val="005D1B3C"/>
    <w:rsid w:val="005D44D1"/>
    <w:rsid w:val="005D590E"/>
    <w:rsid w:val="005D5B2C"/>
    <w:rsid w:val="005D608B"/>
    <w:rsid w:val="005D6BB5"/>
    <w:rsid w:val="005D711E"/>
    <w:rsid w:val="005D74A6"/>
    <w:rsid w:val="005D758C"/>
    <w:rsid w:val="005E0795"/>
    <w:rsid w:val="005E2C95"/>
    <w:rsid w:val="005E31B0"/>
    <w:rsid w:val="005E5E4D"/>
    <w:rsid w:val="005E700B"/>
    <w:rsid w:val="005F0DFE"/>
    <w:rsid w:val="005F0E08"/>
    <w:rsid w:val="005F1741"/>
    <w:rsid w:val="005F2221"/>
    <w:rsid w:val="005F2925"/>
    <w:rsid w:val="005F307D"/>
    <w:rsid w:val="005F3C10"/>
    <w:rsid w:val="005F482C"/>
    <w:rsid w:val="005F6E55"/>
    <w:rsid w:val="0060042A"/>
    <w:rsid w:val="00600588"/>
    <w:rsid w:val="0060065E"/>
    <w:rsid w:val="00600BE6"/>
    <w:rsid w:val="00600C27"/>
    <w:rsid w:val="0060168A"/>
    <w:rsid w:val="00603A8F"/>
    <w:rsid w:val="006058C7"/>
    <w:rsid w:val="00606939"/>
    <w:rsid w:val="006108DE"/>
    <w:rsid w:val="00611621"/>
    <w:rsid w:val="00612800"/>
    <w:rsid w:val="00613682"/>
    <w:rsid w:val="00615420"/>
    <w:rsid w:val="00622BDA"/>
    <w:rsid w:val="00622C00"/>
    <w:rsid w:val="0062318C"/>
    <w:rsid w:val="0062364C"/>
    <w:rsid w:val="006249FD"/>
    <w:rsid w:val="00625AD2"/>
    <w:rsid w:val="00626F82"/>
    <w:rsid w:val="006275E6"/>
    <w:rsid w:val="0062783B"/>
    <w:rsid w:val="00630BCF"/>
    <w:rsid w:val="00631A25"/>
    <w:rsid w:val="0063230B"/>
    <w:rsid w:val="00632661"/>
    <w:rsid w:val="006328EE"/>
    <w:rsid w:val="006337C0"/>
    <w:rsid w:val="006348CA"/>
    <w:rsid w:val="00635DC9"/>
    <w:rsid w:val="00636003"/>
    <w:rsid w:val="00640104"/>
    <w:rsid w:val="0064206A"/>
    <w:rsid w:val="006420E6"/>
    <w:rsid w:val="006429F2"/>
    <w:rsid w:val="006472BE"/>
    <w:rsid w:val="006500C9"/>
    <w:rsid w:val="006507AC"/>
    <w:rsid w:val="00651407"/>
    <w:rsid w:val="00656A4F"/>
    <w:rsid w:val="006607AE"/>
    <w:rsid w:val="00661A4C"/>
    <w:rsid w:val="00663494"/>
    <w:rsid w:val="00664349"/>
    <w:rsid w:val="006646BC"/>
    <w:rsid w:val="00665C7A"/>
    <w:rsid w:val="0066654D"/>
    <w:rsid w:val="00666908"/>
    <w:rsid w:val="0067004C"/>
    <w:rsid w:val="00672666"/>
    <w:rsid w:val="00672DF6"/>
    <w:rsid w:val="0067381B"/>
    <w:rsid w:val="00676CD8"/>
    <w:rsid w:val="0068035C"/>
    <w:rsid w:val="006804B1"/>
    <w:rsid w:val="00680803"/>
    <w:rsid w:val="00680C38"/>
    <w:rsid w:val="00680E6D"/>
    <w:rsid w:val="006816A7"/>
    <w:rsid w:val="006816AF"/>
    <w:rsid w:val="00682AC6"/>
    <w:rsid w:val="006830FE"/>
    <w:rsid w:val="006878A0"/>
    <w:rsid w:val="00687A26"/>
    <w:rsid w:val="00690804"/>
    <w:rsid w:val="00690E1A"/>
    <w:rsid w:val="00692B12"/>
    <w:rsid w:val="00693431"/>
    <w:rsid w:val="00694E5D"/>
    <w:rsid w:val="00695D76"/>
    <w:rsid w:val="00696640"/>
    <w:rsid w:val="00696B06"/>
    <w:rsid w:val="006A0CA8"/>
    <w:rsid w:val="006A3149"/>
    <w:rsid w:val="006A5AA6"/>
    <w:rsid w:val="006A7429"/>
    <w:rsid w:val="006B1538"/>
    <w:rsid w:val="006B177D"/>
    <w:rsid w:val="006B3203"/>
    <w:rsid w:val="006B4C2E"/>
    <w:rsid w:val="006B6F7B"/>
    <w:rsid w:val="006B7CDA"/>
    <w:rsid w:val="006C0114"/>
    <w:rsid w:val="006C0A74"/>
    <w:rsid w:val="006C2024"/>
    <w:rsid w:val="006C3DEF"/>
    <w:rsid w:val="006C5468"/>
    <w:rsid w:val="006C6F66"/>
    <w:rsid w:val="006C714F"/>
    <w:rsid w:val="006D0334"/>
    <w:rsid w:val="006D0FD2"/>
    <w:rsid w:val="006D2845"/>
    <w:rsid w:val="006D293F"/>
    <w:rsid w:val="006D474D"/>
    <w:rsid w:val="006D4AC1"/>
    <w:rsid w:val="006D604E"/>
    <w:rsid w:val="006D6C8E"/>
    <w:rsid w:val="006D7762"/>
    <w:rsid w:val="006E1A75"/>
    <w:rsid w:val="006E53BF"/>
    <w:rsid w:val="006E5B6A"/>
    <w:rsid w:val="006E6431"/>
    <w:rsid w:val="006F0793"/>
    <w:rsid w:val="006F1F6F"/>
    <w:rsid w:val="006F5B33"/>
    <w:rsid w:val="006F6C5E"/>
    <w:rsid w:val="006F7226"/>
    <w:rsid w:val="006F7837"/>
    <w:rsid w:val="006F7B31"/>
    <w:rsid w:val="007002BC"/>
    <w:rsid w:val="00700BED"/>
    <w:rsid w:val="00702063"/>
    <w:rsid w:val="0070376B"/>
    <w:rsid w:val="00704241"/>
    <w:rsid w:val="00704B9A"/>
    <w:rsid w:val="007061B3"/>
    <w:rsid w:val="00706849"/>
    <w:rsid w:val="00710B87"/>
    <w:rsid w:val="00710CCC"/>
    <w:rsid w:val="007118CF"/>
    <w:rsid w:val="00712BDE"/>
    <w:rsid w:val="00713D6C"/>
    <w:rsid w:val="007212F4"/>
    <w:rsid w:val="0072175B"/>
    <w:rsid w:val="00722F9E"/>
    <w:rsid w:val="0072486B"/>
    <w:rsid w:val="00724B6A"/>
    <w:rsid w:val="007252C4"/>
    <w:rsid w:val="00726C2A"/>
    <w:rsid w:val="00726DF8"/>
    <w:rsid w:val="00731A0B"/>
    <w:rsid w:val="0073236B"/>
    <w:rsid w:val="00732D15"/>
    <w:rsid w:val="007330D0"/>
    <w:rsid w:val="00734C40"/>
    <w:rsid w:val="007351DE"/>
    <w:rsid w:val="007371B7"/>
    <w:rsid w:val="00737546"/>
    <w:rsid w:val="00740DAC"/>
    <w:rsid w:val="007410BD"/>
    <w:rsid w:val="00742A92"/>
    <w:rsid w:val="00746008"/>
    <w:rsid w:val="007504D2"/>
    <w:rsid w:val="007520C6"/>
    <w:rsid w:val="007526A3"/>
    <w:rsid w:val="00753036"/>
    <w:rsid w:val="00755EE8"/>
    <w:rsid w:val="00757059"/>
    <w:rsid w:val="00757225"/>
    <w:rsid w:val="007605E3"/>
    <w:rsid w:val="0076075E"/>
    <w:rsid w:val="007610F9"/>
    <w:rsid w:val="00761108"/>
    <w:rsid w:val="007615A4"/>
    <w:rsid w:val="00761CD1"/>
    <w:rsid w:val="00762819"/>
    <w:rsid w:val="00764994"/>
    <w:rsid w:val="00765504"/>
    <w:rsid w:val="00767249"/>
    <w:rsid w:val="00767C57"/>
    <w:rsid w:val="00770547"/>
    <w:rsid w:val="00771794"/>
    <w:rsid w:val="007719D2"/>
    <w:rsid w:val="00771D7C"/>
    <w:rsid w:val="00772BD2"/>
    <w:rsid w:val="00773BD4"/>
    <w:rsid w:val="00773C02"/>
    <w:rsid w:val="00773FBC"/>
    <w:rsid w:val="00775A4A"/>
    <w:rsid w:val="00775EBC"/>
    <w:rsid w:val="00776A92"/>
    <w:rsid w:val="007805CD"/>
    <w:rsid w:val="00780F86"/>
    <w:rsid w:val="00781A9F"/>
    <w:rsid w:val="0078309E"/>
    <w:rsid w:val="007855F6"/>
    <w:rsid w:val="00786C74"/>
    <w:rsid w:val="0079154B"/>
    <w:rsid w:val="0079197B"/>
    <w:rsid w:val="0079455D"/>
    <w:rsid w:val="00794D94"/>
    <w:rsid w:val="00795EAE"/>
    <w:rsid w:val="0079711E"/>
    <w:rsid w:val="007972DA"/>
    <w:rsid w:val="00797B61"/>
    <w:rsid w:val="007A15EB"/>
    <w:rsid w:val="007A40FA"/>
    <w:rsid w:val="007A5216"/>
    <w:rsid w:val="007A5D45"/>
    <w:rsid w:val="007B05E0"/>
    <w:rsid w:val="007B28CE"/>
    <w:rsid w:val="007B2B08"/>
    <w:rsid w:val="007B4751"/>
    <w:rsid w:val="007B6C15"/>
    <w:rsid w:val="007B6EBC"/>
    <w:rsid w:val="007B7385"/>
    <w:rsid w:val="007C2716"/>
    <w:rsid w:val="007C4FD8"/>
    <w:rsid w:val="007C5366"/>
    <w:rsid w:val="007C548C"/>
    <w:rsid w:val="007C6FAA"/>
    <w:rsid w:val="007C7447"/>
    <w:rsid w:val="007D3112"/>
    <w:rsid w:val="007D32B3"/>
    <w:rsid w:val="007D37CE"/>
    <w:rsid w:val="007D3E2E"/>
    <w:rsid w:val="007D45E4"/>
    <w:rsid w:val="007D5433"/>
    <w:rsid w:val="007D5B17"/>
    <w:rsid w:val="007D667F"/>
    <w:rsid w:val="007D7A9F"/>
    <w:rsid w:val="007D7F3C"/>
    <w:rsid w:val="007E0641"/>
    <w:rsid w:val="007E221C"/>
    <w:rsid w:val="007E2D19"/>
    <w:rsid w:val="007E4F38"/>
    <w:rsid w:val="007E5277"/>
    <w:rsid w:val="007E5E35"/>
    <w:rsid w:val="007E7C63"/>
    <w:rsid w:val="007F1074"/>
    <w:rsid w:val="007F14FE"/>
    <w:rsid w:val="007F2AEA"/>
    <w:rsid w:val="007F4005"/>
    <w:rsid w:val="007F435C"/>
    <w:rsid w:val="007F66B2"/>
    <w:rsid w:val="007F69FB"/>
    <w:rsid w:val="007F6E24"/>
    <w:rsid w:val="00800D53"/>
    <w:rsid w:val="008023E8"/>
    <w:rsid w:val="008028C4"/>
    <w:rsid w:val="00806451"/>
    <w:rsid w:val="00810259"/>
    <w:rsid w:val="008106AE"/>
    <w:rsid w:val="00811993"/>
    <w:rsid w:val="00811DF0"/>
    <w:rsid w:val="00813A2C"/>
    <w:rsid w:val="0081460B"/>
    <w:rsid w:val="008146D5"/>
    <w:rsid w:val="008176C7"/>
    <w:rsid w:val="00817A06"/>
    <w:rsid w:val="00817F20"/>
    <w:rsid w:val="0082020C"/>
    <w:rsid w:val="00820355"/>
    <w:rsid w:val="0082075E"/>
    <w:rsid w:val="00820837"/>
    <w:rsid w:val="0082146C"/>
    <w:rsid w:val="00824483"/>
    <w:rsid w:val="008244CA"/>
    <w:rsid w:val="00825430"/>
    <w:rsid w:val="00826E24"/>
    <w:rsid w:val="008279CC"/>
    <w:rsid w:val="00827CDA"/>
    <w:rsid w:val="00827E28"/>
    <w:rsid w:val="00827F93"/>
    <w:rsid w:val="00832C8A"/>
    <w:rsid w:val="00833051"/>
    <w:rsid w:val="008345AC"/>
    <w:rsid w:val="00835532"/>
    <w:rsid w:val="00835D95"/>
    <w:rsid w:val="008378AA"/>
    <w:rsid w:val="00837904"/>
    <w:rsid w:val="0084229A"/>
    <w:rsid w:val="00844C0B"/>
    <w:rsid w:val="0084555F"/>
    <w:rsid w:val="00847647"/>
    <w:rsid w:val="00853C95"/>
    <w:rsid w:val="00854B1E"/>
    <w:rsid w:val="00856B8A"/>
    <w:rsid w:val="008578BE"/>
    <w:rsid w:val="00857E14"/>
    <w:rsid w:val="00857F5C"/>
    <w:rsid w:val="00860276"/>
    <w:rsid w:val="0086242F"/>
    <w:rsid w:val="0086469A"/>
    <w:rsid w:val="00865A6E"/>
    <w:rsid w:val="00866738"/>
    <w:rsid w:val="00867B1E"/>
    <w:rsid w:val="00867F61"/>
    <w:rsid w:val="008710DC"/>
    <w:rsid w:val="00871768"/>
    <w:rsid w:val="0087289E"/>
    <w:rsid w:val="00873070"/>
    <w:rsid w:val="008730AB"/>
    <w:rsid w:val="00873F47"/>
    <w:rsid w:val="00874080"/>
    <w:rsid w:val="00876295"/>
    <w:rsid w:val="008778FF"/>
    <w:rsid w:val="008803DA"/>
    <w:rsid w:val="00882966"/>
    <w:rsid w:val="00883499"/>
    <w:rsid w:val="0088622E"/>
    <w:rsid w:val="00887808"/>
    <w:rsid w:val="008901AB"/>
    <w:rsid w:val="00891034"/>
    <w:rsid w:val="0089486B"/>
    <w:rsid w:val="008959E4"/>
    <w:rsid w:val="008968EA"/>
    <w:rsid w:val="00896B0E"/>
    <w:rsid w:val="00896F03"/>
    <w:rsid w:val="00897581"/>
    <w:rsid w:val="008A0533"/>
    <w:rsid w:val="008A3282"/>
    <w:rsid w:val="008A434B"/>
    <w:rsid w:val="008A47E2"/>
    <w:rsid w:val="008A592F"/>
    <w:rsid w:val="008B205B"/>
    <w:rsid w:val="008B205E"/>
    <w:rsid w:val="008B6A5F"/>
    <w:rsid w:val="008B6CEB"/>
    <w:rsid w:val="008B6FD4"/>
    <w:rsid w:val="008C0306"/>
    <w:rsid w:val="008C085E"/>
    <w:rsid w:val="008C2F35"/>
    <w:rsid w:val="008C31B7"/>
    <w:rsid w:val="008C338F"/>
    <w:rsid w:val="008C41C8"/>
    <w:rsid w:val="008C4D2A"/>
    <w:rsid w:val="008C57BF"/>
    <w:rsid w:val="008C57E8"/>
    <w:rsid w:val="008C6B29"/>
    <w:rsid w:val="008D119B"/>
    <w:rsid w:val="008D1A57"/>
    <w:rsid w:val="008D1B0C"/>
    <w:rsid w:val="008D21FD"/>
    <w:rsid w:val="008D38DF"/>
    <w:rsid w:val="008D4612"/>
    <w:rsid w:val="008D48DC"/>
    <w:rsid w:val="008D4F91"/>
    <w:rsid w:val="008D5799"/>
    <w:rsid w:val="008E2939"/>
    <w:rsid w:val="008E43FB"/>
    <w:rsid w:val="008E49E3"/>
    <w:rsid w:val="008E52A0"/>
    <w:rsid w:val="008E582F"/>
    <w:rsid w:val="008E651D"/>
    <w:rsid w:val="008E6B41"/>
    <w:rsid w:val="008E7164"/>
    <w:rsid w:val="008E7289"/>
    <w:rsid w:val="008E7E5F"/>
    <w:rsid w:val="008F00D6"/>
    <w:rsid w:val="008F051E"/>
    <w:rsid w:val="008F243F"/>
    <w:rsid w:val="008F4174"/>
    <w:rsid w:val="008F4D17"/>
    <w:rsid w:val="008F564D"/>
    <w:rsid w:val="00900383"/>
    <w:rsid w:val="00901FD5"/>
    <w:rsid w:val="009029F6"/>
    <w:rsid w:val="0090414F"/>
    <w:rsid w:val="00904E3C"/>
    <w:rsid w:val="00905275"/>
    <w:rsid w:val="00906688"/>
    <w:rsid w:val="00907110"/>
    <w:rsid w:val="009076B2"/>
    <w:rsid w:val="00910D1F"/>
    <w:rsid w:val="00912AE3"/>
    <w:rsid w:val="00914226"/>
    <w:rsid w:val="00914D60"/>
    <w:rsid w:val="0091504D"/>
    <w:rsid w:val="0091580F"/>
    <w:rsid w:val="00915BAB"/>
    <w:rsid w:val="00920114"/>
    <w:rsid w:val="00921A34"/>
    <w:rsid w:val="00921E60"/>
    <w:rsid w:val="00923444"/>
    <w:rsid w:val="00923AFB"/>
    <w:rsid w:val="00924036"/>
    <w:rsid w:val="00925AAE"/>
    <w:rsid w:val="009275E0"/>
    <w:rsid w:val="00927991"/>
    <w:rsid w:val="009279A9"/>
    <w:rsid w:val="00930442"/>
    <w:rsid w:val="009309C7"/>
    <w:rsid w:val="00930B66"/>
    <w:rsid w:val="009311AC"/>
    <w:rsid w:val="009312D1"/>
    <w:rsid w:val="00931391"/>
    <w:rsid w:val="00932B54"/>
    <w:rsid w:val="0093327A"/>
    <w:rsid w:val="00936662"/>
    <w:rsid w:val="00936A72"/>
    <w:rsid w:val="00937DF4"/>
    <w:rsid w:val="009408A6"/>
    <w:rsid w:val="00940E73"/>
    <w:rsid w:val="00943B9A"/>
    <w:rsid w:val="0094411D"/>
    <w:rsid w:val="00945826"/>
    <w:rsid w:val="00945F4B"/>
    <w:rsid w:val="009464AF"/>
    <w:rsid w:val="00946692"/>
    <w:rsid w:val="00946B43"/>
    <w:rsid w:val="00946FB1"/>
    <w:rsid w:val="0094714A"/>
    <w:rsid w:val="00951E85"/>
    <w:rsid w:val="00952E77"/>
    <w:rsid w:val="00954971"/>
    <w:rsid w:val="0095558E"/>
    <w:rsid w:val="00960850"/>
    <w:rsid w:val="00962035"/>
    <w:rsid w:val="00963D81"/>
    <w:rsid w:val="00964D4E"/>
    <w:rsid w:val="0096517D"/>
    <w:rsid w:val="00965BFB"/>
    <w:rsid w:val="009667C7"/>
    <w:rsid w:val="0096716C"/>
    <w:rsid w:val="00967378"/>
    <w:rsid w:val="0097094D"/>
    <w:rsid w:val="00970E28"/>
    <w:rsid w:val="009712A7"/>
    <w:rsid w:val="00971C2B"/>
    <w:rsid w:val="00973B7E"/>
    <w:rsid w:val="00977361"/>
    <w:rsid w:val="00977C00"/>
    <w:rsid w:val="00980403"/>
    <w:rsid w:val="0098051A"/>
    <w:rsid w:val="00981EE2"/>
    <w:rsid w:val="009821AC"/>
    <w:rsid w:val="00982A9A"/>
    <w:rsid w:val="00983167"/>
    <w:rsid w:val="0098361F"/>
    <w:rsid w:val="00983923"/>
    <w:rsid w:val="00985D90"/>
    <w:rsid w:val="009861D9"/>
    <w:rsid w:val="00991BB5"/>
    <w:rsid w:val="0099340C"/>
    <w:rsid w:val="009940A7"/>
    <w:rsid w:val="009946C7"/>
    <w:rsid w:val="00995F9E"/>
    <w:rsid w:val="009971F6"/>
    <w:rsid w:val="009974B1"/>
    <w:rsid w:val="009A0662"/>
    <w:rsid w:val="009A092F"/>
    <w:rsid w:val="009A0D3C"/>
    <w:rsid w:val="009A197A"/>
    <w:rsid w:val="009A2B7E"/>
    <w:rsid w:val="009A3A94"/>
    <w:rsid w:val="009A55C0"/>
    <w:rsid w:val="009A593F"/>
    <w:rsid w:val="009B377F"/>
    <w:rsid w:val="009B48DA"/>
    <w:rsid w:val="009B527B"/>
    <w:rsid w:val="009B5534"/>
    <w:rsid w:val="009C1039"/>
    <w:rsid w:val="009C1581"/>
    <w:rsid w:val="009C25C0"/>
    <w:rsid w:val="009C4B4A"/>
    <w:rsid w:val="009C55F2"/>
    <w:rsid w:val="009C65B7"/>
    <w:rsid w:val="009C7C80"/>
    <w:rsid w:val="009D18EF"/>
    <w:rsid w:val="009D32A5"/>
    <w:rsid w:val="009D3D82"/>
    <w:rsid w:val="009D4025"/>
    <w:rsid w:val="009D5E02"/>
    <w:rsid w:val="009E0647"/>
    <w:rsid w:val="009E1A1A"/>
    <w:rsid w:val="009E2AA2"/>
    <w:rsid w:val="009E2B83"/>
    <w:rsid w:val="009E452B"/>
    <w:rsid w:val="009E57E9"/>
    <w:rsid w:val="009E5DC2"/>
    <w:rsid w:val="009E6461"/>
    <w:rsid w:val="009E7350"/>
    <w:rsid w:val="009E766A"/>
    <w:rsid w:val="009F07D9"/>
    <w:rsid w:val="009F2BA0"/>
    <w:rsid w:val="009F2DF0"/>
    <w:rsid w:val="009F2F68"/>
    <w:rsid w:val="009F3558"/>
    <w:rsid w:val="009F395F"/>
    <w:rsid w:val="009F437D"/>
    <w:rsid w:val="009F6407"/>
    <w:rsid w:val="009F6846"/>
    <w:rsid w:val="009F6E75"/>
    <w:rsid w:val="009F73AD"/>
    <w:rsid w:val="00A00C94"/>
    <w:rsid w:val="00A017E7"/>
    <w:rsid w:val="00A021B7"/>
    <w:rsid w:val="00A04A5C"/>
    <w:rsid w:val="00A0570D"/>
    <w:rsid w:val="00A05C60"/>
    <w:rsid w:val="00A06423"/>
    <w:rsid w:val="00A07EB2"/>
    <w:rsid w:val="00A10848"/>
    <w:rsid w:val="00A10E97"/>
    <w:rsid w:val="00A11189"/>
    <w:rsid w:val="00A12FF0"/>
    <w:rsid w:val="00A13078"/>
    <w:rsid w:val="00A131AE"/>
    <w:rsid w:val="00A131D9"/>
    <w:rsid w:val="00A159E7"/>
    <w:rsid w:val="00A16122"/>
    <w:rsid w:val="00A16713"/>
    <w:rsid w:val="00A17787"/>
    <w:rsid w:val="00A17D88"/>
    <w:rsid w:val="00A20D79"/>
    <w:rsid w:val="00A212CF"/>
    <w:rsid w:val="00A21C8D"/>
    <w:rsid w:val="00A2256E"/>
    <w:rsid w:val="00A23226"/>
    <w:rsid w:val="00A31D16"/>
    <w:rsid w:val="00A32621"/>
    <w:rsid w:val="00A33715"/>
    <w:rsid w:val="00A33CE9"/>
    <w:rsid w:val="00A34296"/>
    <w:rsid w:val="00A34BD0"/>
    <w:rsid w:val="00A36A8B"/>
    <w:rsid w:val="00A37426"/>
    <w:rsid w:val="00A409C1"/>
    <w:rsid w:val="00A42BAC"/>
    <w:rsid w:val="00A43A10"/>
    <w:rsid w:val="00A4567E"/>
    <w:rsid w:val="00A45AEA"/>
    <w:rsid w:val="00A45D10"/>
    <w:rsid w:val="00A47A53"/>
    <w:rsid w:val="00A521A9"/>
    <w:rsid w:val="00A5295B"/>
    <w:rsid w:val="00A53151"/>
    <w:rsid w:val="00A53ED9"/>
    <w:rsid w:val="00A5438E"/>
    <w:rsid w:val="00A54623"/>
    <w:rsid w:val="00A54818"/>
    <w:rsid w:val="00A56C01"/>
    <w:rsid w:val="00A60823"/>
    <w:rsid w:val="00A6106D"/>
    <w:rsid w:val="00A61BA6"/>
    <w:rsid w:val="00A66BD0"/>
    <w:rsid w:val="00A67541"/>
    <w:rsid w:val="00A677C0"/>
    <w:rsid w:val="00A6796C"/>
    <w:rsid w:val="00A70312"/>
    <w:rsid w:val="00A71952"/>
    <w:rsid w:val="00A72418"/>
    <w:rsid w:val="00A72487"/>
    <w:rsid w:val="00A74256"/>
    <w:rsid w:val="00A75832"/>
    <w:rsid w:val="00A76884"/>
    <w:rsid w:val="00A76DED"/>
    <w:rsid w:val="00A8028A"/>
    <w:rsid w:val="00A809C5"/>
    <w:rsid w:val="00A80FAE"/>
    <w:rsid w:val="00A8315A"/>
    <w:rsid w:val="00A847D6"/>
    <w:rsid w:val="00A849C9"/>
    <w:rsid w:val="00A8712E"/>
    <w:rsid w:val="00A87F1E"/>
    <w:rsid w:val="00A925C0"/>
    <w:rsid w:val="00A937D5"/>
    <w:rsid w:val="00A94E59"/>
    <w:rsid w:val="00A95222"/>
    <w:rsid w:val="00A96C58"/>
    <w:rsid w:val="00A97326"/>
    <w:rsid w:val="00A97DEE"/>
    <w:rsid w:val="00AA1C7E"/>
    <w:rsid w:val="00AA252F"/>
    <w:rsid w:val="00AA2686"/>
    <w:rsid w:val="00AA3CB5"/>
    <w:rsid w:val="00AA58F0"/>
    <w:rsid w:val="00AA5E09"/>
    <w:rsid w:val="00AA72AC"/>
    <w:rsid w:val="00AA771F"/>
    <w:rsid w:val="00AB4ACD"/>
    <w:rsid w:val="00AB6111"/>
    <w:rsid w:val="00AB68F9"/>
    <w:rsid w:val="00AC04C8"/>
    <w:rsid w:val="00AC0AF4"/>
    <w:rsid w:val="00AC0F86"/>
    <w:rsid w:val="00AC104E"/>
    <w:rsid w:val="00AC2B17"/>
    <w:rsid w:val="00AC3AE8"/>
    <w:rsid w:val="00AC3CC8"/>
    <w:rsid w:val="00AC5887"/>
    <w:rsid w:val="00AC612A"/>
    <w:rsid w:val="00AD0143"/>
    <w:rsid w:val="00AD15DA"/>
    <w:rsid w:val="00AD38B4"/>
    <w:rsid w:val="00AD3AE1"/>
    <w:rsid w:val="00AD3C14"/>
    <w:rsid w:val="00AD5329"/>
    <w:rsid w:val="00AD63BB"/>
    <w:rsid w:val="00AE1674"/>
    <w:rsid w:val="00AE1CA0"/>
    <w:rsid w:val="00AE2DA6"/>
    <w:rsid w:val="00AE3152"/>
    <w:rsid w:val="00AE39DC"/>
    <w:rsid w:val="00AE4DC4"/>
    <w:rsid w:val="00AE76A7"/>
    <w:rsid w:val="00AE7DF5"/>
    <w:rsid w:val="00AF043F"/>
    <w:rsid w:val="00AF1B82"/>
    <w:rsid w:val="00AF2228"/>
    <w:rsid w:val="00AF285F"/>
    <w:rsid w:val="00AF4CE3"/>
    <w:rsid w:val="00AF5675"/>
    <w:rsid w:val="00AF72CA"/>
    <w:rsid w:val="00B018DC"/>
    <w:rsid w:val="00B04D47"/>
    <w:rsid w:val="00B05296"/>
    <w:rsid w:val="00B07476"/>
    <w:rsid w:val="00B1047F"/>
    <w:rsid w:val="00B1252A"/>
    <w:rsid w:val="00B1263F"/>
    <w:rsid w:val="00B1367F"/>
    <w:rsid w:val="00B15682"/>
    <w:rsid w:val="00B179A6"/>
    <w:rsid w:val="00B2014C"/>
    <w:rsid w:val="00B22499"/>
    <w:rsid w:val="00B22513"/>
    <w:rsid w:val="00B22F0A"/>
    <w:rsid w:val="00B24B6E"/>
    <w:rsid w:val="00B35652"/>
    <w:rsid w:val="00B358E9"/>
    <w:rsid w:val="00B35B53"/>
    <w:rsid w:val="00B369C9"/>
    <w:rsid w:val="00B406AC"/>
    <w:rsid w:val="00B41856"/>
    <w:rsid w:val="00B42128"/>
    <w:rsid w:val="00B42549"/>
    <w:rsid w:val="00B42B18"/>
    <w:rsid w:val="00B44D9A"/>
    <w:rsid w:val="00B462AC"/>
    <w:rsid w:val="00B46431"/>
    <w:rsid w:val="00B4653C"/>
    <w:rsid w:val="00B500A2"/>
    <w:rsid w:val="00B5094F"/>
    <w:rsid w:val="00B53DF0"/>
    <w:rsid w:val="00B55C6D"/>
    <w:rsid w:val="00B55F6D"/>
    <w:rsid w:val="00B60448"/>
    <w:rsid w:val="00B60C80"/>
    <w:rsid w:val="00B61F0F"/>
    <w:rsid w:val="00B637F6"/>
    <w:rsid w:val="00B70105"/>
    <w:rsid w:val="00B72AB9"/>
    <w:rsid w:val="00B7399C"/>
    <w:rsid w:val="00B73E32"/>
    <w:rsid w:val="00B73E68"/>
    <w:rsid w:val="00B752BD"/>
    <w:rsid w:val="00B75924"/>
    <w:rsid w:val="00B75DDA"/>
    <w:rsid w:val="00B76852"/>
    <w:rsid w:val="00B76D9C"/>
    <w:rsid w:val="00B829F9"/>
    <w:rsid w:val="00B830A1"/>
    <w:rsid w:val="00B84069"/>
    <w:rsid w:val="00B8495D"/>
    <w:rsid w:val="00B84C12"/>
    <w:rsid w:val="00B879ED"/>
    <w:rsid w:val="00B91A18"/>
    <w:rsid w:val="00B939FC"/>
    <w:rsid w:val="00B94F0A"/>
    <w:rsid w:val="00B95390"/>
    <w:rsid w:val="00B962B7"/>
    <w:rsid w:val="00B96865"/>
    <w:rsid w:val="00B974ED"/>
    <w:rsid w:val="00BA243B"/>
    <w:rsid w:val="00BA4D06"/>
    <w:rsid w:val="00BA7BE6"/>
    <w:rsid w:val="00BB02A4"/>
    <w:rsid w:val="00BB1516"/>
    <w:rsid w:val="00BB18BF"/>
    <w:rsid w:val="00BB1BC4"/>
    <w:rsid w:val="00BB3E97"/>
    <w:rsid w:val="00BB44D9"/>
    <w:rsid w:val="00BB4A42"/>
    <w:rsid w:val="00BB5E0C"/>
    <w:rsid w:val="00BB6C47"/>
    <w:rsid w:val="00BB765A"/>
    <w:rsid w:val="00BC13E7"/>
    <w:rsid w:val="00BC3FAF"/>
    <w:rsid w:val="00BC410E"/>
    <w:rsid w:val="00BC6F24"/>
    <w:rsid w:val="00BD00BD"/>
    <w:rsid w:val="00BD34BF"/>
    <w:rsid w:val="00BD47B2"/>
    <w:rsid w:val="00BD5EE7"/>
    <w:rsid w:val="00BD5F9A"/>
    <w:rsid w:val="00BE00D1"/>
    <w:rsid w:val="00BE00F2"/>
    <w:rsid w:val="00BE033E"/>
    <w:rsid w:val="00BE1678"/>
    <w:rsid w:val="00BE191F"/>
    <w:rsid w:val="00BE2A67"/>
    <w:rsid w:val="00BE397A"/>
    <w:rsid w:val="00BE4090"/>
    <w:rsid w:val="00BE4AE0"/>
    <w:rsid w:val="00BE5E9F"/>
    <w:rsid w:val="00BE63F1"/>
    <w:rsid w:val="00BE781C"/>
    <w:rsid w:val="00BF0EB7"/>
    <w:rsid w:val="00BF16E3"/>
    <w:rsid w:val="00BF1CC6"/>
    <w:rsid w:val="00BF264A"/>
    <w:rsid w:val="00BF3E6B"/>
    <w:rsid w:val="00BF5AD6"/>
    <w:rsid w:val="00BF5FF5"/>
    <w:rsid w:val="00BF6C9F"/>
    <w:rsid w:val="00BF7041"/>
    <w:rsid w:val="00C0106A"/>
    <w:rsid w:val="00C019EB"/>
    <w:rsid w:val="00C01B0B"/>
    <w:rsid w:val="00C02130"/>
    <w:rsid w:val="00C05B10"/>
    <w:rsid w:val="00C05F20"/>
    <w:rsid w:val="00C06192"/>
    <w:rsid w:val="00C0669F"/>
    <w:rsid w:val="00C0713C"/>
    <w:rsid w:val="00C072A9"/>
    <w:rsid w:val="00C07903"/>
    <w:rsid w:val="00C1092A"/>
    <w:rsid w:val="00C10E73"/>
    <w:rsid w:val="00C11B72"/>
    <w:rsid w:val="00C12595"/>
    <w:rsid w:val="00C12CE6"/>
    <w:rsid w:val="00C14538"/>
    <w:rsid w:val="00C1524B"/>
    <w:rsid w:val="00C15968"/>
    <w:rsid w:val="00C168D4"/>
    <w:rsid w:val="00C16B0E"/>
    <w:rsid w:val="00C178FF"/>
    <w:rsid w:val="00C179AC"/>
    <w:rsid w:val="00C2433F"/>
    <w:rsid w:val="00C24E5B"/>
    <w:rsid w:val="00C256C9"/>
    <w:rsid w:val="00C26D20"/>
    <w:rsid w:val="00C27002"/>
    <w:rsid w:val="00C307D4"/>
    <w:rsid w:val="00C313CE"/>
    <w:rsid w:val="00C329DD"/>
    <w:rsid w:val="00C32A34"/>
    <w:rsid w:val="00C34B70"/>
    <w:rsid w:val="00C352B6"/>
    <w:rsid w:val="00C36D9A"/>
    <w:rsid w:val="00C40EC5"/>
    <w:rsid w:val="00C4233D"/>
    <w:rsid w:val="00C44693"/>
    <w:rsid w:val="00C4546A"/>
    <w:rsid w:val="00C4722A"/>
    <w:rsid w:val="00C508C9"/>
    <w:rsid w:val="00C527B0"/>
    <w:rsid w:val="00C53405"/>
    <w:rsid w:val="00C53A2F"/>
    <w:rsid w:val="00C54987"/>
    <w:rsid w:val="00C54BDE"/>
    <w:rsid w:val="00C56F10"/>
    <w:rsid w:val="00C60BB5"/>
    <w:rsid w:val="00C60D72"/>
    <w:rsid w:val="00C61831"/>
    <w:rsid w:val="00C61ABF"/>
    <w:rsid w:val="00C62C70"/>
    <w:rsid w:val="00C656E9"/>
    <w:rsid w:val="00C6608D"/>
    <w:rsid w:val="00C6614A"/>
    <w:rsid w:val="00C66EC8"/>
    <w:rsid w:val="00C76985"/>
    <w:rsid w:val="00C806EC"/>
    <w:rsid w:val="00C80CAB"/>
    <w:rsid w:val="00C813EF"/>
    <w:rsid w:val="00C83092"/>
    <w:rsid w:val="00C84D10"/>
    <w:rsid w:val="00C85A45"/>
    <w:rsid w:val="00C86F9E"/>
    <w:rsid w:val="00C877AD"/>
    <w:rsid w:val="00C879BE"/>
    <w:rsid w:val="00C87B98"/>
    <w:rsid w:val="00C87F1C"/>
    <w:rsid w:val="00C907D0"/>
    <w:rsid w:val="00C90F4B"/>
    <w:rsid w:val="00C920E2"/>
    <w:rsid w:val="00C9225C"/>
    <w:rsid w:val="00C9322E"/>
    <w:rsid w:val="00C93E13"/>
    <w:rsid w:val="00C93F38"/>
    <w:rsid w:val="00C94498"/>
    <w:rsid w:val="00C95A50"/>
    <w:rsid w:val="00C95A85"/>
    <w:rsid w:val="00C95CE1"/>
    <w:rsid w:val="00C9768A"/>
    <w:rsid w:val="00CA2930"/>
    <w:rsid w:val="00CA2C73"/>
    <w:rsid w:val="00CA425A"/>
    <w:rsid w:val="00CA5C4E"/>
    <w:rsid w:val="00CA7284"/>
    <w:rsid w:val="00CB2BE7"/>
    <w:rsid w:val="00CB2D1C"/>
    <w:rsid w:val="00CB3787"/>
    <w:rsid w:val="00CB7834"/>
    <w:rsid w:val="00CB7CB8"/>
    <w:rsid w:val="00CC111F"/>
    <w:rsid w:val="00CC2341"/>
    <w:rsid w:val="00CC2AAC"/>
    <w:rsid w:val="00CC7348"/>
    <w:rsid w:val="00CC7C4A"/>
    <w:rsid w:val="00CD04F0"/>
    <w:rsid w:val="00CD10EF"/>
    <w:rsid w:val="00CD3E32"/>
    <w:rsid w:val="00CD5770"/>
    <w:rsid w:val="00CD5D00"/>
    <w:rsid w:val="00CD64EC"/>
    <w:rsid w:val="00CE116D"/>
    <w:rsid w:val="00CE3A26"/>
    <w:rsid w:val="00CE4808"/>
    <w:rsid w:val="00CE502F"/>
    <w:rsid w:val="00CE6FA8"/>
    <w:rsid w:val="00CE7AA9"/>
    <w:rsid w:val="00CE7ED4"/>
    <w:rsid w:val="00CF5C26"/>
    <w:rsid w:val="00CF6842"/>
    <w:rsid w:val="00D0011B"/>
    <w:rsid w:val="00D003BF"/>
    <w:rsid w:val="00D0041E"/>
    <w:rsid w:val="00D00E81"/>
    <w:rsid w:val="00D01990"/>
    <w:rsid w:val="00D01D9D"/>
    <w:rsid w:val="00D03FBB"/>
    <w:rsid w:val="00D041A0"/>
    <w:rsid w:val="00D055E5"/>
    <w:rsid w:val="00D0589C"/>
    <w:rsid w:val="00D058CC"/>
    <w:rsid w:val="00D1054F"/>
    <w:rsid w:val="00D107AC"/>
    <w:rsid w:val="00D10F3F"/>
    <w:rsid w:val="00D11414"/>
    <w:rsid w:val="00D115C3"/>
    <w:rsid w:val="00D138CE"/>
    <w:rsid w:val="00D14769"/>
    <w:rsid w:val="00D16D9D"/>
    <w:rsid w:val="00D206C6"/>
    <w:rsid w:val="00D22262"/>
    <w:rsid w:val="00D2265B"/>
    <w:rsid w:val="00D23488"/>
    <w:rsid w:val="00D23ADE"/>
    <w:rsid w:val="00D25249"/>
    <w:rsid w:val="00D25550"/>
    <w:rsid w:val="00D272A5"/>
    <w:rsid w:val="00D32F34"/>
    <w:rsid w:val="00D334F5"/>
    <w:rsid w:val="00D33823"/>
    <w:rsid w:val="00D33F75"/>
    <w:rsid w:val="00D34730"/>
    <w:rsid w:val="00D3569F"/>
    <w:rsid w:val="00D35AF4"/>
    <w:rsid w:val="00D3678A"/>
    <w:rsid w:val="00D376F0"/>
    <w:rsid w:val="00D44901"/>
    <w:rsid w:val="00D46696"/>
    <w:rsid w:val="00D47104"/>
    <w:rsid w:val="00D47286"/>
    <w:rsid w:val="00D50325"/>
    <w:rsid w:val="00D50E12"/>
    <w:rsid w:val="00D522B8"/>
    <w:rsid w:val="00D545AD"/>
    <w:rsid w:val="00D54AA2"/>
    <w:rsid w:val="00D5587F"/>
    <w:rsid w:val="00D55ABE"/>
    <w:rsid w:val="00D57436"/>
    <w:rsid w:val="00D64991"/>
    <w:rsid w:val="00D65B56"/>
    <w:rsid w:val="00D65F1E"/>
    <w:rsid w:val="00D6638D"/>
    <w:rsid w:val="00D6686A"/>
    <w:rsid w:val="00D6794B"/>
    <w:rsid w:val="00D67D41"/>
    <w:rsid w:val="00D72A4A"/>
    <w:rsid w:val="00D73619"/>
    <w:rsid w:val="00D769EC"/>
    <w:rsid w:val="00D77A7E"/>
    <w:rsid w:val="00D80B22"/>
    <w:rsid w:val="00D81DFB"/>
    <w:rsid w:val="00D842EB"/>
    <w:rsid w:val="00D844CE"/>
    <w:rsid w:val="00D84D19"/>
    <w:rsid w:val="00D86344"/>
    <w:rsid w:val="00D87B63"/>
    <w:rsid w:val="00D90D7B"/>
    <w:rsid w:val="00D95DF7"/>
    <w:rsid w:val="00D96CA8"/>
    <w:rsid w:val="00D9734A"/>
    <w:rsid w:val="00D973B9"/>
    <w:rsid w:val="00DA255D"/>
    <w:rsid w:val="00DA3D86"/>
    <w:rsid w:val="00DA66FD"/>
    <w:rsid w:val="00DB15BF"/>
    <w:rsid w:val="00DB1857"/>
    <w:rsid w:val="00DB1C7D"/>
    <w:rsid w:val="00DB1EB6"/>
    <w:rsid w:val="00DB21B2"/>
    <w:rsid w:val="00DB21B9"/>
    <w:rsid w:val="00DB27E2"/>
    <w:rsid w:val="00DB2BE1"/>
    <w:rsid w:val="00DB39CA"/>
    <w:rsid w:val="00DB68D7"/>
    <w:rsid w:val="00DB693A"/>
    <w:rsid w:val="00DB6AC4"/>
    <w:rsid w:val="00DB7FF4"/>
    <w:rsid w:val="00DC1B0D"/>
    <w:rsid w:val="00DC1C66"/>
    <w:rsid w:val="00DC47AA"/>
    <w:rsid w:val="00DD04D6"/>
    <w:rsid w:val="00DD127E"/>
    <w:rsid w:val="00DD141A"/>
    <w:rsid w:val="00DD2560"/>
    <w:rsid w:val="00DD46B4"/>
    <w:rsid w:val="00DD605D"/>
    <w:rsid w:val="00DD7A60"/>
    <w:rsid w:val="00DE1D37"/>
    <w:rsid w:val="00DE1F25"/>
    <w:rsid w:val="00DE3625"/>
    <w:rsid w:val="00DE3C8A"/>
    <w:rsid w:val="00DE4EF5"/>
    <w:rsid w:val="00DE5100"/>
    <w:rsid w:val="00DE566D"/>
    <w:rsid w:val="00DE58DE"/>
    <w:rsid w:val="00DF1CB2"/>
    <w:rsid w:val="00DF2275"/>
    <w:rsid w:val="00DF241B"/>
    <w:rsid w:val="00DF3215"/>
    <w:rsid w:val="00DF3343"/>
    <w:rsid w:val="00DF3374"/>
    <w:rsid w:val="00DF3B65"/>
    <w:rsid w:val="00DF65D1"/>
    <w:rsid w:val="00E0054A"/>
    <w:rsid w:val="00E03457"/>
    <w:rsid w:val="00E034BB"/>
    <w:rsid w:val="00E042AC"/>
    <w:rsid w:val="00E0439E"/>
    <w:rsid w:val="00E04762"/>
    <w:rsid w:val="00E05647"/>
    <w:rsid w:val="00E0710F"/>
    <w:rsid w:val="00E1436A"/>
    <w:rsid w:val="00E20D92"/>
    <w:rsid w:val="00E20EB4"/>
    <w:rsid w:val="00E218F5"/>
    <w:rsid w:val="00E2409C"/>
    <w:rsid w:val="00E2442A"/>
    <w:rsid w:val="00E24B2E"/>
    <w:rsid w:val="00E25775"/>
    <w:rsid w:val="00E26CF3"/>
    <w:rsid w:val="00E26D2A"/>
    <w:rsid w:val="00E320C3"/>
    <w:rsid w:val="00E323AA"/>
    <w:rsid w:val="00E333D9"/>
    <w:rsid w:val="00E337B9"/>
    <w:rsid w:val="00E363B8"/>
    <w:rsid w:val="00E3686D"/>
    <w:rsid w:val="00E369EE"/>
    <w:rsid w:val="00E3729E"/>
    <w:rsid w:val="00E37A6F"/>
    <w:rsid w:val="00E408A1"/>
    <w:rsid w:val="00E410FD"/>
    <w:rsid w:val="00E417B1"/>
    <w:rsid w:val="00E41963"/>
    <w:rsid w:val="00E44235"/>
    <w:rsid w:val="00E44F50"/>
    <w:rsid w:val="00E464FB"/>
    <w:rsid w:val="00E50017"/>
    <w:rsid w:val="00E52ED3"/>
    <w:rsid w:val="00E5405F"/>
    <w:rsid w:val="00E573E4"/>
    <w:rsid w:val="00E60479"/>
    <w:rsid w:val="00E60B30"/>
    <w:rsid w:val="00E612C8"/>
    <w:rsid w:val="00E63AC1"/>
    <w:rsid w:val="00E67A34"/>
    <w:rsid w:val="00E702E9"/>
    <w:rsid w:val="00E70A03"/>
    <w:rsid w:val="00E71E92"/>
    <w:rsid w:val="00E725A5"/>
    <w:rsid w:val="00E727A4"/>
    <w:rsid w:val="00E72D1D"/>
    <w:rsid w:val="00E73C02"/>
    <w:rsid w:val="00E7510C"/>
    <w:rsid w:val="00E75DA9"/>
    <w:rsid w:val="00E77237"/>
    <w:rsid w:val="00E77B94"/>
    <w:rsid w:val="00E80746"/>
    <w:rsid w:val="00E81754"/>
    <w:rsid w:val="00E81C66"/>
    <w:rsid w:val="00E84CA5"/>
    <w:rsid w:val="00E86E7B"/>
    <w:rsid w:val="00E86FE4"/>
    <w:rsid w:val="00E87504"/>
    <w:rsid w:val="00E87D16"/>
    <w:rsid w:val="00E904A9"/>
    <w:rsid w:val="00E90A29"/>
    <w:rsid w:val="00E9187D"/>
    <w:rsid w:val="00E91C3F"/>
    <w:rsid w:val="00E91ED1"/>
    <w:rsid w:val="00E9257A"/>
    <w:rsid w:val="00E92F74"/>
    <w:rsid w:val="00E93069"/>
    <w:rsid w:val="00E93F30"/>
    <w:rsid w:val="00E94DF5"/>
    <w:rsid w:val="00E94F7F"/>
    <w:rsid w:val="00E9635D"/>
    <w:rsid w:val="00E9679E"/>
    <w:rsid w:val="00E9749A"/>
    <w:rsid w:val="00EA0788"/>
    <w:rsid w:val="00EA0D00"/>
    <w:rsid w:val="00EA25E4"/>
    <w:rsid w:val="00EA2969"/>
    <w:rsid w:val="00EA299A"/>
    <w:rsid w:val="00EA3266"/>
    <w:rsid w:val="00EA36AB"/>
    <w:rsid w:val="00EA466B"/>
    <w:rsid w:val="00EA4755"/>
    <w:rsid w:val="00EB08DE"/>
    <w:rsid w:val="00EB1F05"/>
    <w:rsid w:val="00EB2392"/>
    <w:rsid w:val="00EB244E"/>
    <w:rsid w:val="00EB2C95"/>
    <w:rsid w:val="00EB3894"/>
    <w:rsid w:val="00EB48C9"/>
    <w:rsid w:val="00EB4A10"/>
    <w:rsid w:val="00EB514B"/>
    <w:rsid w:val="00EB52FA"/>
    <w:rsid w:val="00EC0016"/>
    <w:rsid w:val="00EC37E2"/>
    <w:rsid w:val="00EC4CF9"/>
    <w:rsid w:val="00EC6B20"/>
    <w:rsid w:val="00EC7292"/>
    <w:rsid w:val="00EC7EFA"/>
    <w:rsid w:val="00EC7FD2"/>
    <w:rsid w:val="00ED0EBE"/>
    <w:rsid w:val="00ED2CB4"/>
    <w:rsid w:val="00ED2E52"/>
    <w:rsid w:val="00ED3087"/>
    <w:rsid w:val="00ED3847"/>
    <w:rsid w:val="00ED3C6D"/>
    <w:rsid w:val="00ED438D"/>
    <w:rsid w:val="00ED44D6"/>
    <w:rsid w:val="00ED4AE6"/>
    <w:rsid w:val="00ED51A2"/>
    <w:rsid w:val="00ED5325"/>
    <w:rsid w:val="00EE05F0"/>
    <w:rsid w:val="00EE06F8"/>
    <w:rsid w:val="00EE0DF6"/>
    <w:rsid w:val="00EE0E1F"/>
    <w:rsid w:val="00EE36C3"/>
    <w:rsid w:val="00EE3A93"/>
    <w:rsid w:val="00EE5EAD"/>
    <w:rsid w:val="00EE7137"/>
    <w:rsid w:val="00EE77AB"/>
    <w:rsid w:val="00EF13D7"/>
    <w:rsid w:val="00EF1C39"/>
    <w:rsid w:val="00EF2AB5"/>
    <w:rsid w:val="00EF46B4"/>
    <w:rsid w:val="00F0422F"/>
    <w:rsid w:val="00F05F5A"/>
    <w:rsid w:val="00F071AD"/>
    <w:rsid w:val="00F10315"/>
    <w:rsid w:val="00F10D09"/>
    <w:rsid w:val="00F12C59"/>
    <w:rsid w:val="00F14B36"/>
    <w:rsid w:val="00F1515E"/>
    <w:rsid w:val="00F153B2"/>
    <w:rsid w:val="00F173C1"/>
    <w:rsid w:val="00F1744C"/>
    <w:rsid w:val="00F17CD4"/>
    <w:rsid w:val="00F25A0C"/>
    <w:rsid w:val="00F26653"/>
    <w:rsid w:val="00F2670B"/>
    <w:rsid w:val="00F301E5"/>
    <w:rsid w:val="00F311A3"/>
    <w:rsid w:val="00F3223D"/>
    <w:rsid w:val="00F345C1"/>
    <w:rsid w:val="00F36962"/>
    <w:rsid w:val="00F36A57"/>
    <w:rsid w:val="00F41E29"/>
    <w:rsid w:val="00F4257A"/>
    <w:rsid w:val="00F4389B"/>
    <w:rsid w:val="00F438D3"/>
    <w:rsid w:val="00F4438C"/>
    <w:rsid w:val="00F46D81"/>
    <w:rsid w:val="00F4780D"/>
    <w:rsid w:val="00F502BD"/>
    <w:rsid w:val="00F53C79"/>
    <w:rsid w:val="00F53E33"/>
    <w:rsid w:val="00F543AC"/>
    <w:rsid w:val="00F57CB8"/>
    <w:rsid w:val="00F60C78"/>
    <w:rsid w:val="00F60C83"/>
    <w:rsid w:val="00F61D95"/>
    <w:rsid w:val="00F61DFA"/>
    <w:rsid w:val="00F621CC"/>
    <w:rsid w:val="00F63778"/>
    <w:rsid w:val="00F66FE5"/>
    <w:rsid w:val="00F708C3"/>
    <w:rsid w:val="00F722C6"/>
    <w:rsid w:val="00F732EC"/>
    <w:rsid w:val="00F7383A"/>
    <w:rsid w:val="00F73AB9"/>
    <w:rsid w:val="00F73F1E"/>
    <w:rsid w:val="00F75BB8"/>
    <w:rsid w:val="00F81C2D"/>
    <w:rsid w:val="00F81D7C"/>
    <w:rsid w:val="00F826E3"/>
    <w:rsid w:val="00F85C33"/>
    <w:rsid w:val="00F85C48"/>
    <w:rsid w:val="00F85DED"/>
    <w:rsid w:val="00F8682C"/>
    <w:rsid w:val="00F877D9"/>
    <w:rsid w:val="00F90720"/>
    <w:rsid w:val="00F90F90"/>
    <w:rsid w:val="00F912E7"/>
    <w:rsid w:val="00F91383"/>
    <w:rsid w:val="00F92FE5"/>
    <w:rsid w:val="00F939CA"/>
    <w:rsid w:val="00F93FF6"/>
    <w:rsid w:val="00F96228"/>
    <w:rsid w:val="00F96BD8"/>
    <w:rsid w:val="00F96D60"/>
    <w:rsid w:val="00FA0739"/>
    <w:rsid w:val="00FA1C21"/>
    <w:rsid w:val="00FA4040"/>
    <w:rsid w:val="00FA4164"/>
    <w:rsid w:val="00FA4361"/>
    <w:rsid w:val="00FA43B9"/>
    <w:rsid w:val="00FA5EB2"/>
    <w:rsid w:val="00FB1E40"/>
    <w:rsid w:val="00FB4811"/>
    <w:rsid w:val="00FB637F"/>
    <w:rsid w:val="00FB69F8"/>
    <w:rsid w:val="00FB7820"/>
    <w:rsid w:val="00FC17F4"/>
    <w:rsid w:val="00FC2ADA"/>
    <w:rsid w:val="00FC2BAB"/>
    <w:rsid w:val="00FC66A1"/>
    <w:rsid w:val="00FD0700"/>
    <w:rsid w:val="00FD12F8"/>
    <w:rsid w:val="00FD18A5"/>
    <w:rsid w:val="00FD1FF6"/>
    <w:rsid w:val="00FD227F"/>
    <w:rsid w:val="00FD6505"/>
    <w:rsid w:val="00FD6C81"/>
    <w:rsid w:val="00FD70B9"/>
    <w:rsid w:val="00FD7AAB"/>
    <w:rsid w:val="00FE067F"/>
    <w:rsid w:val="00FE0AC6"/>
    <w:rsid w:val="00FE27D5"/>
    <w:rsid w:val="00FE51BB"/>
    <w:rsid w:val="00FE698E"/>
    <w:rsid w:val="00FE7CCD"/>
    <w:rsid w:val="00FF140B"/>
    <w:rsid w:val="00FF681E"/>
    <w:rsid w:val="00FF7E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FB4C0C"/>
  <w15:docId w15:val="{9D2B925E-37F0-4F8D-BB2F-1AA7C5BE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448"/>
    <w:pPr>
      <w:spacing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uiPriority w:val="59"/>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AF043F"/>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uiPriority w:val="99"/>
    <w:semiHidden/>
    <w:rsid w:val="00AA3CB5"/>
    <w:rPr>
      <w:sz w:val="16"/>
      <w:szCs w:val="16"/>
    </w:rPr>
  </w:style>
  <w:style w:type="paragraph" w:styleId="CommentText">
    <w:name w:val="annotation text"/>
    <w:basedOn w:val="Normal"/>
    <w:link w:val="CommentTextChar"/>
    <w:uiPriority w:val="99"/>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5D44D1"/>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493CFA"/>
    <w:pPr>
      <w:ind w:left="720"/>
      <w:contextualSpacing/>
    </w:pPr>
  </w:style>
  <w:style w:type="character" w:customStyle="1" w:styleId="CommentTextChar">
    <w:name w:val="Comment Text Char"/>
    <w:basedOn w:val="DefaultParagraphFont"/>
    <w:link w:val="CommentText"/>
    <w:uiPriority w:val="99"/>
    <w:semiHidden/>
    <w:rsid w:val="00BE00D1"/>
    <w:rPr>
      <w:rFonts w:ascii="Lucida Sans" w:hAnsi="Lucida Sans"/>
      <w:lang w:eastAsia="en-GB"/>
    </w:rPr>
  </w:style>
  <w:style w:type="paragraph" w:customStyle="1" w:styleId="Body1">
    <w:name w:val="Body 1"/>
    <w:rsid w:val="00FB7820"/>
    <w:pPr>
      <w:spacing w:after="200" w:line="276" w:lineRule="auto"/>
      <w:outlineLvl w:val="0"/>
    </w:pPr>
    <w:rPr>
      <w:rFonts w:ascii="Helvetica" w:eastAsia="Arial Unicode MS" w:hAnsi="Helvetica"/>
      <w:color w:val="000000"/>
      <w:sz w:val="22"/>
      <w:u w:color="000000"/>
      <w:lang w:eastAsia="en-GB"/>
    </w:rPr>
  </w:style>
  <w:style w:type="paragraph" w:styleId="PlainText">
    <w:name w:val="Plain Text"/>
    <w:basedOn w:val="Normal"/>
    <w:link w:val="PlainTextChar"/>
    <w:uiPriority w:val="99"/>
    <w:unhideWhenUsed/>
    <w:rsid w:val="00A70312"/>
    <w:pPr>
      <w:spacing w:line="240" w:lineRule="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A70312"/>
    <w:rPr>
      <w:rFonts w:ascii="Calibri" w:eastAsiaTheme="minorEastAsia" w:hAnsi="Calibri" w:cstheme="minorBidi"/>
      <w:sz w:val="22"/>
      <w:szCs w:val="21"/>
    </w:rPr>
  </w:style>
  <w:style w:type="paragraph" w:styleId="NormalWeb">
    <w:name w:val="Normal (Web)"/>
    <w:basedOn w:val="Normal"/>
    <w:uiPriority w:val="99"/>
    <w:unhideWhenUsed/>
    <w:rsid w:val="00F543AC"/>
    <w:pPr>
      <w:spacing w:before="100" w:beforeAutospacing="1" w:after="100" w:afterAutospacing="1" w:line="240" w:lineRule="auto"/>
    </w:pPr>
    <w:rPr>
      <w:rFonts w:ascii="Times New Roman" w:hAnsi="Times New Roman"/>
      <w:sz w:val="24"/>
      <w:lang w:eastAsia="zh-CN"/>
    </w:rPr>
  </w:style>
  <w:style w:type="character" w:styleId="Hyperlink">
    <w:name w:val="Hyperlink"/>
    <w:basedOn w:val="DefaultParagraphFont"/>
    <w:unhideWhenUsed/>
    <w:rsid w:val="00F10315"/>
    <w:rPr>
      <w:color w:val="0000FF" w:themeColor="hyperlink"/>
      <w:u w:val="single"/>
    </w:rPr>
  </w:style>
  <w:style w:type="paragraph" w:styleId="Revision">
    <w:name w:val="Revision"/>
    <w:hidden/>
    <w:uiPriority w:val="99"/>
    <w:semiHidden/>
    <w:rsid w:val="00096EC5"/>
    <w:rPr>
      <w:rFonts w:ascii="Lucida Sans" w:hAnsi="Lucida Sans"/>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036">
      <w:bodyDiv w:val="1"/>
      <w:marLeft w:val="0"/>
      <w:marRight w:val="0"/>
      <w:marTop w:val="0"/>
      <w:marBottom w:val="0"/>
      <w:divBdr>
        <w:top w:val="none" w:sz="0" w:space="0" w:color="auto"/>
        <w:left w:val="none" w:sz="0" w:space="0" w:color="auto"/>
        <w:bottom w:val="none" w:sz="0" w:space="0" w:color="auto"/>
        <w:right w:val="none" w:sz="0" w:space="0" w:color="auto"/>
      </w:divBdr>
    </w:div>
    <w:div w:id="88015422">
      <w:bodyDiv w:val="1"/>
      <w:marLeft w:val="0"/>
      <w:marRight w:val="0"/>
      <w:marTop w:val="0"/>
      <w:marBottom w:val="0"/>
      <w:divBdr>
        <w:top w:val="none" w:sz="0" w:space="0" w:color="auto"/>
        <w:left w:val="none" w:sz="0" w:space="0" w:color="auto"/>
        <w:bottom w:val="none" w:sz="0" w:space="0" w:color="auto"/>
        <w:right w:val="none" w:sz="0" w:space="0" w:color="auto"/>
      </w:divBdr>
    </w:div>
    <w:div w:id="124391177">
      <w:bodyDiv w:val="1"/>
      <w:marLeft w:val="0"/>
      <w:marRight w:val="0"/>
      <w:marTop w:val="0"/>
      <w:marBottom w:val="0"/>
      <w:divBdr>
        <w:top w:val="none" w:sz="0" w:space="0" w:color="auto"/>
        <w:left w:val="none" w:sz="0" w:space="0" w:color="auto"/>
        <w:bottom w:val="none" w:sz="0" w:space="0" w:color="auto"/>
        <w:right w:val="none" w:sz="0" w:space="0" w:color="auto"/>
      </w:divBdr>
      <w:divsChild>
        <w:div w:id="1573277532">
          <w:marLeft w:val="547"/>
          <w:marRight w:val="0"/>
          <w:marTop w:val="0"/>
          <w:marBottom w:val="120"/>
          <w:divBdr>
            <w:top w:val="none" w:sz="0" w:space="0" w:color="auto"/>
            <w:left w:val="none" w:sz="0" w:space="0" w:color="auto"/>
            <w:bottom w:val="none" w:sz="0" w:space="0" w:color="auto"/>
            <w:right w:val="none" w:sz="0" w:space="0" w:color="auto"/>
          </w:divBdr>
        </w:div>
        <w:div w:id="1194419065">
          <w:marLeft w:val="547"/>
          <w:marRight w:val="0"/>
          <w:marTop w:val="0"/>
          <w:marBottom w:val="120"/>
          <w:divBdr>
            <w:top w:val="none" w:sz="0" w:space="0" w:color="auto"/>
            <w:left w:val="none" w:sz="0" w:space="0" w:color="auto"/>
            <w:bottom w:val="none" w:sz="0" w:space="0" w:color="auto"/>
            <w:right w:val="none" w:sz="0" w:space="0" w:color="auto"/>
          </w:divBdr>
        </w:div>
        <w:div w:id="17778153">
          <w:marLeft w:val="547"/>
          <w:marRight w:val="0"/>
          <w:marTop w:val="0"/>
          <w:marBottom w:val="120"/>
          <w:divBdr>
            <w:top w:val="none" w:sz="0" w:space="0" w:color="auto"/>
            <w:left w:val="none" w:sz="0" w:space="0" w:color="auto"/>
            <w:bottom w:val="none" w:sz="0" w:space="0" w:color="auto"/>
            <w:right w:val="none" w:sz="0" w:space="0" w:color="auto"/>
          </w:divBdr>
        </w:div>
        <w:div w:id="387728394">
          <w:marLeft w:val="547"/>
          <w:marRight w:val="0"/>
          <w:marTop w:val="0"/>
          <w:marBottom w:val="120"/>
          <w:divBdr>
            <w:top w:val="none" w:sz="0" w:space="0" w:color="auto"/>
            <w:left w:val="none" w:sz="0" w:space="0" w:color="auto"/>
            <w:bottom w:val="none" w:sz="0" w:space="0" w:color="auto"/>
            <w:right w:val="none" w:sz="0" w:space="0" w:color="auto"/>
          </w:divBdr>
        </w:div>
        <w:div w:id="372777589">
          <w:marLeft w:val="547"/>
          <w:marRight w:val="0"/>
          <w:marTop w:val="0"/>
          <w:marBottom w:val="120"/>
          <w:divBdr>
            <w:top w:val="none" w:sz="0" w:space="0" w:color="auto"/>
            <w:left w:val="none" w:sz="0" w:space="0" w:color="auto"/>
            <w:bottom w:val="none" w:sz="0" w:space="0" w:color="auto"/>
            <w:right w:val="none" w:sz="0" w:space="0" w:color="auto"/>
          </w:divBdr>
        </w:div>
        <w:div w:id="1833373725">
          <w:marLeft w:val="547"/>
          <w:marRight w:val="0"/>
          <w:marTop w:val="0"/>
          <w:marBottom w:val="120"/>
          <w:divBdr>
            <w:top w:val="none" w:sz="0" w:space="0" w:color="auto"/>
            <w:left w:val="none" w:sz="0" w:space="0" w:color="auto"/>
            <w:bottom w:val="none" w:sz="0" w:space="0" w:color="auto"/>
            <w:right w:val="none" w:sz="0" w:space="0" w:color="auto"/>
          </w:divBdr>
        </w:div>
        <w:div w:id="1404990924">
          <w:marLeft w:val="547"/>
          <w:marRight w:val="0"/>
          <w:marTop w:val="0"/>
          <w:marBottom w:val="120"/>
          <w:divBdr>
            <w:top w:val="none" w:sz="0" w:space="0" w:color="auto"/>
            <w:left w:val="none" w:sz="0" w:space="0" w:color="auto"/>
            <w:bottom w:val="none" w:sz="0" w:space="0" w:color="auto"/>
            <w:right w:val="none" w:sz="0" w:space="0" w:color="auto"/>
          </w:divBdr>
        </w:div>
        <w:div w:id="1505628433">
          <w:marLeft w:val="547"/>
          <w:marRight w:val="0"/>
          <w:marTop w:val="0"/>
          <w:marBottom w:val="120"/>
          <w:divBdr>
            <w:top w:val="none" w:sz="0" w:space="0" w:color="auto"/>
            <w:left w:val="none" w:sz="0" w:space="0" w:color="auto"/>
            <w:bottom w:val="none" w:sz="0" w:space="0" w:color="auto"/>
            <w:right w:val="none" w:sz="0" w:space="0" w:color="auto"/>
          </w:divBdr>
        </w:div>
        <w:div w:id="1349025557">
          <w:marLeft w:val="547"/>
          <w:marRight w:val="0"/>
          <w:marTop w:val="0"/>
          <w:marBottom w:val="120"/>
          <w:divBdr>
            <w:top w:val="none" w:sz="0" w:space="0" w:color="auto"/>
            <w:left w:val="none" w:sz="0" w:space="0" w:color="auto"/>
            <w:bottom w:val="none" w:sz="0" w:space="0" w:color="auto"/>
            <w:right w:val="none" w:sz="0" w:space="0" w:color="auto"/>
          </w:divBdr>
        </w:div>
      </w:divsChild>
    </w:div>
    <w:div w:id="130245375">
      <w:bodyDiv w:val="1"/>
      <w:marLeft w:val="0"/>
      <w:marRight w:val="0"/>
      <w:marTop w:val="0"/>
      <w:marBottom w:val="0"/>
      <w:divBdr>
        <w:top w:val="none" w:sz="0" w:space="0" w:color="auto"/>
        <w:left w:val="none" w:sz="0" w:space="0" w:color="auto"/>
        <w:bottom w:val="none" w:sz="0" w:space="0" w:color="auto"/>
        <w:right w:val="none" w:sz="0" w:space="0" w:color="auto"/>
      </w:divBdr>
    </w:div>
    <w:div w:id="159585765">
      <w:bodyDiv w:val="1"/>
      <w:marLeft w:val="0"/>
      <w:marRight w:val="0"/>
      <w:marTop w:val="0"/>
      <w:marBottom w:val="0"/>
      <w:divBdr>
        <w:top w:val="none" w:sz="0" w:space="0" w:color="auto"/>
        <w:left w:val="none" w:sz="0" w:space="0" w:color="auto"/>
        <w:bottom w:val="none" w:sz="0" w:space="0" w:color="auto"/>
        <w:right w:val="none" w:sz="0" w:space="0" w:color="auto"/>
      </w:divBdr>
    </w:div>
    <w:div w:id="167794071">
      <w:bodyDiv w:val="1"/>
      <w:marLeft w:val="0"/>
      <w:marRight w:val="0"/>
      <w:marTop w:val="0"/>
      <w:marBottom w:val="0"/>
      <w:divBdr>
        <w:top w:val="none" w:sz="0" w:space="0" w:color="auto"/>
        <w:left w:val="none" w:sz="0" w:space="0" w:color="auto"/>
        <w:bottom w:val="none" w:sz="0" w:space="0" w:color="auto"/>
        <w:right w:val="none" w:sz="0" w:space="0" w:color="auto"/>
      </w:divBdr>
    </w:div>
    <w:div w:id="423383712">
      <w:bodyDiv w:val="1"/>
      <w:marLeft w:val="0"/>
      <w:marRight w:val="0"/>
      <w:marTop w:val="0"/>
      <w:marBottom w:val="0"/>
      <w:divBdr>
        <w:top w:val="none" w:sz="0" w:space="0" w:color="auto"/>
        <w:left w:val="none" w:sz="0" w:space="0" w:color="auto"/>
        <w:bottom w:val="none" w:sz="0" w:space="0" w:color="auto"/>
        <w:right w:val="none" w:sz="0" w:space="0" w:color="auto"/>
      </w:divBdr>
    </w:div>
    <w:div w:id="440993788">
      <w:bodyDiv w:val="1"/>
      <w:marLeft w:val="0"/>
      <w:marRight w:val="0"/>
      <w:marTop w:val="0"/>
      <w:marBottom w:val="0"/>
      <w:divBdr>
        <w:top w:val="none" w:sz="0" w:space="0" w:color="auto"/>
        <w:left w:val="none" w:sz="0" w:space="0" w:color="auto"/>
        <w:bottom w:val="none" w:sz="0" w:space="0" w:color="auto"/>
        <w:right w:val="none" w:sz="0" w:space="0" w:color="auto"/>
      </w:divBdr>
    </w:div>
    <w:div w:id="683022731">
      <w:bodyDiv w:val="1"/>
      <w:marLeft w:val="0"/>
      <w:marRight w:val="0"/>
      <w:marTop w:val="0"/>
      <w:marBottom w:val="0"/>
      <w:divBdr>
        <w:top w:val="none" w:sz="0" w:space="0" w:color="auto"/>
        <w:left w:val="none" w:sz="0" w:space="0" w:color="auto"/>
        <w:bottom w:val="none" w:sz="0" w:space="0" w:color="auto"/>
        <w:right w:val="none" w:sz="0" w:space="0" w:color="auto"/>
      </w:divBdr>
      <w:divsChild>
        <w:div w:id="1236476256">
          <w:marLeft w:val="1166"/>
          <w:marRight w:val="0"/>
          <w:marTop w:val="0"/>
          <w:marBottom w:val="120"/>
          <w:divBdr>
            <w:top w:val="none" w:sz="0" w:space="0" w:color="auto"/>
            <w:left w:val="none" w:sz="0" w:space="0" w:color="auto"/>
            <w:bottom w:val="none" w:sz="0" w:space="0" w:color="auto"/>
            <w:right w:val="none" w:sz="0" w:space="0" w:color="auto"/>
          </w:divBdr>
        </w:div>
        <w:div w:id="921715322">
          <w:marLeft w:val="1166"/>
          <w:marRight w:val="0"/>
          <w:marTop w:val="0"/>
          <w:marBottom w:val="120"/>
          <w:divBdr>
            <w:top w:val="none" w:sz="0" w:space="0" w:color="auto"/>
            <w:left w:val="none" w:sz="0" w:space="0" w:color="auto"/>
            <w:bottom w:val="none" w:sz="0" w:space="0" w:color="auto"/>
            <w:right w:val="none" w:sz="0" w:space="0" w:color="auto"/>
          </w:divBdr>
        </w:div>
        <w:div w:id="217984850">
          <w:marLeft w:val="1166"/>
          <w:marRight w:val="0"/>
          <w:marTop w:val="0"/>
          <w:marBottom w:val="120"/>
          <w:divBdr>
            <w:top w:val="none" w:sz="0" w:space="0" w:color="auto"/>
            <w:left w:val="none" w:sz="0" w:space="0" w:color="auto"/>
            <w:bottom w:val="none" w:sz="0" w:space="0" w:color="auto"/>
            <w:right w:val="none" w:sz="0" w:space="0" w:color="auto"/>
          </w:divBdr>
        </w:div>
        <w:div w:id="1298532729">
          <w:marLeft w:val="1166"/>
          <w:marRight w:val="0"/>
          <w:marTop w:val="0"/>
          <w:marBottom w:val="120"/>
          <w:divBdr>
            <w:top w:val="none" w:sz="0" w:space="0" w:color="auto"/>
            <w:left w:val="none" w:sz="0" w:space="0" w:color="auto"/>
            <w:bottom w:val="none" w:sz="0" w:space="0" w:color="auto"/>
            <w:right w:val="none" w:sz="0" w:space="0" w:color="auto"/>
          </w:divBdr>
        </w:div>
        <w:div w:id="1456750348">
          <w:marLeft w:val="1166"/>
          <w:marRight w:val="0"/>
          <w:marTop w:val="0"/>
          <w:marBottom w:val="120"/>
          <w:divBdr>
            <w:top w:val="none" w:sz="0" w:space="0" w:color="auto"/>
            <w:left w:val="none" w:sz="0" w:space="0" w:color="auto"/>
            <w:bottom w:val="none" w:sz="0" w:space="0" w:color="auto"/>
            <w:right w:val="none" w:sz="0" w:space="0" w:color="auto"/>
          </w:divBdr>
        </w:div>
        <w:div w:id="389351832">
          <w:marLeft w:val="1166"/>
          <w:marRight w:val="0"/>
          <w:marTop w:val="0"/>
          <w:marBottom w:val="120"/>
          <w:divBdr>
            <w:top w:val="none" w:sz="0" w:space="0" w:color="auto"/>
            <w:left w:val="none" w:sz="0" w:space="0" w:color="auto"/>
            <w:bottom w:val="none" w:sz="0" w:space="0" w:color="auto"/>
            <w:right w:val="none" w:sz="0" w:space="0" w:color="auto"/>
          </w:divBdr>
        </w:div>
      </w:divsChild>
    </w:div>
    <w:div w:id="697855446">
      <w:bodyDiv w:val="1"/>
      <w:marLeft w:val="0"/>
      <w:marRight w:val="0"/>
      <w:marTop w:val="0"/>
      <w:marBottom w:val="0"/>
      <w:divBdr>
        <w:top w:val="none" w:sz="0" w:space="0" w:color="auto"/>
        <w:left w:val="none" w:sz="0" w:space="0" w:color="auto"/>
        <w:bottom w:val="none" w:sz="0" w:space="0" w:color="auto"/>
        <w:right w:val="none" w:sz="0" w:space="0" w:color="auto"/>
      </w:divBdr>
    </w:div>
    <w:div w:id="830753028">
      <w:bodyDiv w:val="1"/>
      <w:marLeft w:val="0"/>
      <w:marRight w:val="0"/>
      <w:marTop w:val="0"/>
      <w:marBottom w:val="0"/>
      <w:divBdr>
        <w:top w:val="none" w:sz="0" w:space="0" w:color="auto"/>
        <w:left w:val="none" w:sz="0" w:space="0" w:color="auto"/>
        <w:bottom w:val="none" w:sz="0" w:space="0" w:color="auto"/>
        <w:right w:val="none" w:sz="0" w:space="0" w:color="auto"/>
      </w:divBdr>
      <w:divsChild>
        <w:div w:id="1624337142">
          <w:marLeft w:val="547"/>
          <w:marRight w:val="0"/>
          <w:marTop w:val="0"/>
          <w:marBottom w:val="120"/>
          <w:divBdr>
            <w:top w:val="none" w:sz="0" w:space="0" w:color="auto"/>
            <w:left w:val="none" w:sz="0" w:space="0" w:color="auto"/>
            <w:bottom w:val="none" w:sz="0" w:space="0" w:color="auto"/>
            <w:right w:val="none" w:sz="0" w:space="0" w:color="auto"/>
          </w:divBdr>
        </w:div>
        <w:div w:id="1045526985">
          <w:marLeft w:val="547"/>
          <w:marRight w:val="0"/>
          <w:marTop w:val="0"/>
          <w:marBottom w:val="120"/>
          <w:divBdr>
            <w:top w:val="none" w:sz="0" w:space="0" w:color="auto"/>
            <w:left w:val="none" w:sz="0" w:space="0" w:color="auto"/>
            <w:bottom w:val="none" w:sz="0" w:space="0" w:color="auto"/>
            <w:right w:val="none" w:sz="0" w:space="0" w:color="auto"/>
          </w:divBdr>
        </w:div>
        <w:div w:id="1298300117">
          <w:marLeft w:val="547"/>
          <w:marRight w:val="0"/>
          <w:marTop w:val="0"/>
          <w:marBottom w:val="120"/>
          <w:divBdr>
            <w:top w:val="none" w:sz="0" w:space="0" w:color="auto"/>
            <w:left w:val="none" w:sz="0" w:space="0" w:color="auto"/>
            <w:bottom w:val="none" w:sz="0" w:space="0" w:color="auto"/>
            <w:right w:val="none" w:sz="0" w:space="0" w:color="auto"/>
          </w:divBdr>
        </w:div>
        <w:div w:id="1952854174">
          <w:marLeft w:val="547"/>
          <w:marRight w:val="0"/>
          <w:marTop w:val="0"/>
          <w:marBottom w:val="120"/>
          <w:divBdr>
            <w:top w:val="none" w:sz="0" w:space="0" w:color="auto"/>
            <w:left w:val="none" w:sz="0" w:space="0" w:color="auto"/>
            <w:bottom w:val="none" w:sz="0" w:space="0" w:color="auto"/>
            <w:right w:val="none" w:sz="0" w:space="0" w:color="auto"/>
          </w:divBdr>
        </w:div>
        <w:div w:id="424229785">
          <w:marLeft w:val="547"/>
          <w:marRight w:val="0"/>
          <w:marTop w:val="0"/>
          <w:marBottom w:val="120"/>
          <w:divBdr>
            <w:top w:val="none" w:sz="0" w:space="0" w:color="auto"/>
            <w:left w:val="none" w:sz="0" w:space="0" w:color="auto"/>
            <w:bottom w:val="none" w:sz="0" w:space="0" w:color="auto"/>
            <w:right w:val="none" w:sz="0" w:space="0" w:color="auto"/>
          </w:divBdr>
        </w:div>
        <w:div w:id="448202247">
          <w:marLeft w:val="547"/>
          <w:marRight w:val="0"/>
          <w:marTop w:val="0"/>
          <w:marBottom w:val="120"/>
          <w:divBdr>
            <w:top w:val="none" w:sz="0" w:space="0" w:color="auto"/>
            <w:left w:val="none" w:sz="0" w:space="0" w:color="auto"/>
            <w:bottom w:val="none" w:sz="0" w:space="0" w:color="auto"/>
            <w:right w:val="none" w:sz="0" w:space="0" w:color="auto"/>
          </w:divBdr>
        </w:div>
      </w:divsChild>
    </w:div>
    <w:div w:id="1056783600">
      <w:bodyDiv w:val="1"/>
      <w:marLeft w:val="0"/>
      <w:marRight w:val="0"/>
      <w:marTop w:val="0"/>
      <w:marBottom w:val="0"/>
      <w:divBdr>
        <w:top w:val="none" w:sz="0" w:space="0" w:color="auto"/>
        <w:left w:val="none" w:sz="0" w:space="0" w:color="auto"/>
        <w:bottom w:val="none" w:sz="0" w:space="0" w:color="auto"/>
        <w:right w:val="none" w:sz="0" w:space="0" w:color="auto"/>
      </w:divBdr>
    </w:div>
    <w:div w:id="1158616761">
      <w:bodyDiv w:val="1"/>
      <w:marLeft w:val="0"/>
      <w:marRight w:val="0"/>
      <w:marTop w:val="0"/>
      <w:marBottom w:val="0"/>
      <w:divBdr>
        <w:top w:val="none" w:sz="0" w:space="0" w:color="auto"/>
        <w:left w:val="none" w:sz="0" w:space="0" w:color="auto"/>
        <w:bottom w:val="none" w:sz="0" w:space="0" w:color="auto"/>
        <w:right w:val="none" w:sz="0" w:space="0" w:color="auto"/>
      </w:divBdr>
    </w:div>
    <w:div w:id="1182428555">
      <w:bodyDiv w:val="1"/>
      <w:marLeft w:val="0"/>
      <w:marRight w:val="0"/>
      <w:marTop w:val="0"/>
      <w:marBottom w:val="0"/>
      <w:divBdr>
        <w:top w:val="none" w:sz="0" w:space="0" w:color="auto"/>
        <w:left w:val="none" w:sz="0" w:space="0" w:color="auto"/>
        <w:bottom w:val="none" w:sz="0" w:space="0" w:color="auto"/>
        <w:right w:val="none" w:sz="0" w:space="0" w:color="auto"/>
      </w:divBdr>
    </w:div>
    <w:div w:id="1197697740">
      <w:bodyDiv w:val="1"/>
      <w:marLeft w:val="0"/>
      <w:marRight w:val="0"/>
      <w:marTop w:val="0"/>
      <w:marBottom w:val="0"/>
      <w:divBdr>
        <w:top w:val="none" w:sz="0" w:space="0" w:color="auto"/>
        <w:left w:val="none" w:sz="0" w:space="0" w:color="auto"/>
        <w:bottom w:val="none" w:sz="0" w:space="0" w:color="auto"/>
        <w:right w:val="none" w:sz="0" w:space="0" w:color="auto"/>
      </w:divBdr>
    </w:div>
    <w:div w:id="1220900570">
      <w:bodyDiv w:val="1"/>
      <w:marLeft w:val="0"/>
      <w:marRight w:val="0"/>
      <w:marTop w:val="0"/>
      <w:marBottom w:val="0"/>
      <w:divBdr>
        <w:top w:val="none" w:sz="0" w:space="0" w:color="auto"/>
        <w:left w:val="none" w:sz="0" w:space="0" w:color="auto"/>
        <w:bottom w:val="none" w:sz="0" w:space="0" w:color="auto"/>
        <w:right w:val="none" w:sz="0" w:space="0" w:color="auto"/>
      </w:divBdr>
      <w:divsChild>
        <w:div w:id="8336583">
          <w:marLeft w:val="1166"/>
          <w:marRight w:val="0"/>
          <w:marTop w:val="0"/>
          <w:marBottom w:val="120"/>
          <w:divBdr>
            <w:top w:val="none" w:sz="0" w:space="0" w:color="auto"/>
            <w:left w:val="none" w:sz="0" w:space="0" w:color="auto"/>
            <w:bottom w:val="none" w:sz="0" w:space="0" w:color="auto"/>
            <w:right w:val="none" w:sz="0" w:space="0" w:color="auto"/>
          </w:divBdr>
        </w:div>
        <w:div w:id="872695202">
          <w:marLeft w:val="1166"/>
          <w:marRight w:val="0"/>
          <w:marTop w:val="0"/>
          <w:marBottom w:val="120"/>
          <w:divBdr>
            <w:top w:val="none" w:sz="0" w:space="0" w:color="auto"/>
            <w:left w:val="none" w:sz="0" w:space="0" w:color="auto"/>
            <w:bottom w:val="none" w:sz="0" w:space="0" w:color="auto"/>
            <w:right w:val="none" w:sz="0" w:space="0" w:color="auto"/>
          </w:divBdr>
        </w:div>
        <w:div w:id="1655645420">
          <w:marLeft w:val="1800"/>
          <w:marRight w:val="0"/>
          <w:marTop w:val="0"/>
          <w:marBottom w:val="120"/>
          <w:divBdr>
            <w:top w:val="none" w:sz="0" w:space="0" w:color="auto"/>
            <w:left w:val="none" w:sz="0" w:space="0" w:color="auto"/>
            <w:bottom w:val="none" w:sz="0" w:space="0" w:color="auto"/>
            <w:right w:val="none" w:sz="0" w:space="0" w:color="auto"/>
          </w:divBdr>
        </w:div>
        <w:div w:id="1500655908">
          <w:marLeft w:val="1166"/>
          <w:marRight w:val="0"/>
          <w:marTop w:val="0"/>
          <w:marBottom w:val="120"/>
          <w:divBdr>
            <w:top w:val="none" w:sz="0" w:space="0" w:color="auto"/>
            <w:left w:val="none" w:sz="0" w:space="0" w:color="auto"/>
            <w:bottom w:val="none" w:sz="0" w:space="0" w:color="auto"/>
            <w:right w:val="none" w:sz="0" w:space="0" w:color="auto"/>
          </w:divBdr>
        </w:div>
      </w:divsChild>
    </w:div>
    <w:div w:id="1372806945">
      <w:bodyDiv w:val="1"/>
      <w:marLeft w:val="0"/>
      <w:marRight w:val="0"/>
      <w:marTop w:val="0"/>
      <w:marBottom w:val="0"/>
      <w:divBdr>
        <w:top w:val="none" w:sz="0" w:space="0" w:color="auto"/>
        <w:left w:val="none" w:sz="0" w:space="0" w:color="auto"/>
        <w:bottom w:val="none" w:sz="0" w:space="0" w:color="auto"/>
        <w:right w:val="none" w:sz="0" w:space="0" w:color="auto"/>
      </w:divBdr>
    </w:div>
    <w:div w:id="1438865904">
      <w:bodyDiv w:val="1"/>
      <w:marLeft w:val="0"/>
      <w:marRight w:val="0"/>
      <w:marTop w:val="0"/>
      <w:marBottom w:val="0"/>
      <w:divBdr>
        <w:top w:val="none" w:sz="0" w:space="0" w:color="auto"/>
        <w:left w:val="none" w:sz="0" w:space="0" w:color="auto"/>
        <w:bottom w:val="none" w:sz="0" w:space="0" w:color="auto"/>
        <w:right w:val="none" w:sz="0" w:space="0" w:color="auto"/>
      </w:divBdr>
    </w:div>
    <w:div w:id="1520849250">
      <w:bodyDiv w:val="1"/>
      <w:marLeft w:val="0"/>
      <w:marRight w:val="0"/>
      <w:marTop w:val="0"/>
      <w:marBottom w:val="0"/>
      <w:divBdr>
        <w:top w:val="none" w:sz="0" w:space="0" w:color="auto"/>
        <w:left w:val="none" w:sz="0" w:space="0" w:color="auto"/>
        <w:bottom w:val="none" w:sz="0" w:space="0" w:color="auto"/>
        <w:right w:val="none" w:sz="0" w:space="0" w:color="auto"/>
      </w:divBdr>
    </w:div>
    <w:div w:id="1539465583">
      <w:bodyDiv w:val="1"/>
      <w:marLeft w:val="0"/>
      <w:marRight w:val="0"/>
      <w:marTop w:val="0"/>
      <w:marBottom w:val="0"/>
      <w:divBdr>
        <w:top w:val="none" w:sz="0" w:space="0" w:color="auto"/>
        <w:left w:val="none" w:sz="0" w:space="0" w:color="auto"/>
        <w:bottom w:val="none" w:sz="0" w:space="0" w:color="auto"/>
        <w:right w:val="none" w:sz="0" w:space="0" w:color="auto"/>
      </w:divBdr>
    </w:div>
    <w:div w:id="1623733412">
      <w:bodyDiv w:val="1"/>
      <w:marLeft w:val="0"/>
      <w:marRight w:val="0"/>
      <w:marTop w:val="0"/>
      <w:marBottom w:val="0"/>
      <w:divBdr>
        <w:top w:val="none" w:sz="0" w:space="0" w:color="auto"/>
        <w:left w:val="none" w:sz="0" w:space="0" w:color="auto"/>
        <w:bottom w:val="none" w:sz="0" w:space="0" w:color="auto"/>
        <w:right w:val="none" w:sz="0" w:space="0" w:color="auto"/>
      </w:divBdr>
    </w:div>
    <w:div w:id="20985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mc\Desktop\Council%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194266b733eda47345ebfa172adb9d3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2a6712555b969d8109319ac60c0ff03e"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AB448-5BA6-4B94-8DDC-6026FFDDB967}">
  <ds:schemaRefs>
    <ds:schemaRef ds:uri="ab18ae3b-b06a-43ff-92e5-531bcbbe1fb8"/>
    <ds:schemaRef ds:uri="http://purl.org/dc/dcmitype/"/>
    <ds:schemaRef ds:uri="276649eb-572d-4c67-8f44-2ca37edb7ea1"/>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972510A-E2F7-49BE-B1D1-764AAD368255}">
  <ds:schemaRefs>
    <ds:schemaRef ds:uri="http://schemas.microsoft.com/sharepoint/v3/contenttype/forms"/>
  </ds:schemaRefs>
</ds:datastoreItem>
</file>

<file path=customXml/itemProps3.xml><?xml version="1.0" encoding="utf-8"?>
<ds:datastoreItem xmlns:ds="http://schemas.openxmlformats.org/officeDocument/2006/customXml" ds:itemID="{42EAFE23-473D-46F1-8247-67D023AB6C73}"/>
</file>

<file path=customXml/itemProps4.xml><?xml version="1.0" encoding="utf-8"?>
<ds:datastoreItem xmlns:ds="http://schemas.openxmlformats.org/officeDocument/2006/customXml" ds:itemID="{36799D98-3E1D-42A7-ABF6-33FF2CE4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Minutes.dot</Template>
  <TotalTime>1</TotalTime>
  <Pages>11</Pages>
  <Words>3640</Words>
  <Characters>19982</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SU Agenda template</vt:lpstr>
    </vt:vector>
  </TitlesOfParts>
  <Company>Southampton University</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Agenda template</dc:title>
  <dc:creator>Usmc</dc:creator>
  <cp:keywords>V0.1</cp:keywords>
  <cp:lastModifiedBy>Abraham L.J.</cp:lastModifiedBy>
  <cp:revision>2</cp:revision>
  <cp:lastPrinted>2016-11-18T16:20:00Z</cp:lastPrinted>
  <dcterms:created xsi:type="dcterms:W3CDTF">2020-08-24T12:59:00Z</dcterms:created>
  <dcterms:modified xsi:type="dcterms:W3CDTF">2020-08-24T12:59:00Z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0x010100D7680F7141451344BB1F7CF3BA9BCB10</vt:lpwstr>
  </property>
  <property fmtid="{D5CDD505-2E9C-101B-9397-08002B2CF9AE}" pid="4" name="Order">
    <vt:r8>1875200</vt:r8>
  </property>
</Properties>
</file>